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line="360" w:lineRule="auto"/>
        <w:rPr>
          <w:rFonts w:hint="eastAsia" w:ascii="微软雅黑" w:hAnsi="微软雅黑" w:eastAsia="微软雅黑" w:cs="微软雅黑"/>
        </w:rPr>
      </w:pPr>
      <w:r>
        <w:rPr>
          <w:rFonts w:hint="eastAsia" w:ascii="微软雅黑" w:hAnsi="微软雅黑" w:eastAsia="微软雅黑" w:cs="微软雅黑"/>
        </w:rPr>
        <w:t>员工绩效考核协议</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default" w:ascii="微软雅黑" w:hAnsi="微软雅黑" w:eastAsia="微软雅黑" w:cs="微软雅黑"/>
          <w:color w:val="000000"/>
          <w:u w:val="single"/>
          <w:lang w:val="en-US" w:eastAsia="zh-CN"/>
        </w:rPr>
      </w:pPr>
      <w:r>
        <w:rPr>
          <w:rFonts w:hint="eastAsia" w:ascii="微软雅黑" w:hAnsi="微软雅黑" w:eastAsia="微软雅黑" w:cs="微软雅黑"/>
          <w:b/>
          <w:color w:val="000000"/>
        </w:rPr>
        <w:t>甲方（</w:t>
      </w:r>
      <w:r>
        <w:rPr>
          <w:rFonts w:hint="eastAsia" w:ascii="微软雅黑" w:hAnsi="微软雅黑" w:eastAsia="微软雅黑" w:cs="微软雅黑"/>
          <w:b/>
          <w:color w:val="000000"/>
          <w:lang w:eastAsia="zh-CN"/>
        </w:rPr>
        <w:t>公司</w:t>
      </w:r>
      <w:r>
        <w:rPr>
          <w:rFonts w:hint="eastAsia" w:ascii="微软雅黑" w:hAnsi="微软雅黑" w:eastAsia="微软雅黑" w:cs="微软雅黑"/>
          <w:b/>
          <w:color w:val="000000"/>
        </w:rPr>
        <w:t>）：</w:t>
      </w:r>
      <w:r>
        <w:rPr>
          <w:rFonts w:hint="eastAsia" w:ascii="微软雅黑" w:hAnsi="微软雅黑" w:eastAsia="微软雅黑" w:cs="微软雅黑"/>
          <w:b/>
          <w:color w:val="000000"/>
          <w:lang w:eastAsia="zh-CN"/>
        </w:rPr>
        <w:t>：</w:t>
      </w:r>
      <w:bookmarkStart w:id="0" w:name="_GoBack"/>
      <w:bookmarkEnd w:id="0"/>
      <w:r>
        <w:rPr>
          <w:rFonts w:hint="eastAsia" w:ascii="微软雅黑" w:hAnsi="微软雅黑" w:eastAsia="微软雅黑" w:cs="微软雅黑"/>
          <w:b/>
          <w:color w:val="000000"/>
          <w:u w:val="single"/>
          <w:lang w:val="en-US" w:eastAsia="zh-CN"/>
        </w:rPr>
        <w:t xml:space="preserve">      </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统一社会信用代码：</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color w:val="000000"/>
        </w:rPr>
        <w:t>乙方</w:t>
      </w:r>
      <w:r>
        <w:rPr>
          <w:rFonts w:hint="eastAsia" w:ascii="微软雅黑" w:hAnsi="微软雅黑" w:eastAsia="微软雅黑" w:cs="微软雅黑"/>
          <w:b/>
          <w:color w:val="000000"/>
          <w:lang w:eastAsia="zh-CN"/>
        </w:rPr>
        <w:t>（员工）</w:t>
      </w:r>
      <w:r>
        <w:rPr>
          <w:rFonts w:hint="eastAsia" w:ascii="微软雅黑" w:hAnsi="微软雅黑" w:eastAsia="微软雅黑" w:cs="微软雅黑"/>
          <w:b/>
          <w:color w:val="000000"/>
        </w:rPr>
        <w:t>：</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身份证号码：</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为了提高工作效率和服务水平，进一步激发员工工作积极性，切实转变工作作风，经过友好协商，在相互信任、相互尊重和互惠互利的原则基础上，甲、乙双方就绩效管理约定，以及双方在本协议中的权利义务等相关事宜达成如下一致，并签订本协议，以便双方共同遵守。</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绩效考核</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绩效考核宗旨</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目前甲方正处在发展的重要时期，鉴于乙方对甲方的贡献和为了激励乙方更好的工作，并进一步促进公司发展和实现更好的经济效益。</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绩效考核内容</w:t>
      </w:r>
    </w:p>
    <w:p>
      <w:pPr>
        <w:pStyle w:val="4"/>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甲方聘用乙方担任</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，乙方固定工资为基本工资（不包含任何补助）和绩效工资两部分，绩效工资为全部基本工资的</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%，乙方基本工资标准为每月</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元，绩效工资为每月</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元。</w:t>
      </w:r>
    </w:p>
    <w:p>
      <w:pPr>
        <w:pStyle w:val="4"/>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绩效工资的考核内容主要为以下几项：</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w:t>
      </w:r>
    </w:p>
    <w:p>
      <w:pPr>
        <w:pStyle w:val="4"/>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具体绩效考核标准以双方书面确定的考核内容为准，乙方如未按时、保质、保量完成绩效考核任务，证明乙方不符合岗位录用条件，甲方有权对乙方进行培训、调岗，如再次上岗，还是未达成绩效考核任务的，乙方可以选择离岗或由甲方辞退，乙方知悉并同意，后期不得提起任何异议。</w:t>
      </w:r>
    </w:p>
    <w:p>
      <w:pPr>
        <w:pStyle w:val="4"/>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在本合同生效之日起，乙方入职甲方公司，担任</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职位，薪资：</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元/月。</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考核期限</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双方绩效考核期限为</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年，从</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年</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月</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日到</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年</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月</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日。有效期满后经甲、乙双方协商达成一致后可以续签。</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承诺与保证</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双方保证其具有签订和履行本协议的权利和能力。</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根据公司有关制度，甲方有权公正公平地对乙方进行考核；根据考核结果，按约定及时支付乙方的劳动报酬或调岗及培训，期间接受乙方的申诉，并进行调查处理。</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甲方遵守双方已经签订的劳动合同和其他协议，并为乙方开展工作提供必要的条件。</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乙方在不违反甲方管理制度的前提下，在本职工作范围内，自行开展工作的权利；</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乙方根据本协议取得合法劳动报酬的权利。</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乙方遵守甲方的各项管理制度和工作规定，服从甲方的管理；</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乙方自觉接受甲方监督和考核，发现问题及时解决，并自愿按本协议规定履行。</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乙方需努力达到双方约定的各项绩效考核标准，完成甲方提出的工作任务。</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承诺严格遵守甲方依法制定的有关保守单位秘密的各项规章制度；未经甲方同意，均不得以任何方式披露、使用或者允许他人使用甲方商业技术秘密，亦不得自营或为他人经营以及协助他人经营与甲方同类行业及产品的各项业务。</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违约责任</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自本协议签订之日起，双方均应友好履行本协议所列事项。</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如在协议期内单方违约的，若对对方造成其他损失的，守约方有权依照本协议向法律申诉的权利。</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乙双方遵守本协议相关约定，如乙方达成绩效考核目标的，甲方应当给予相关报酬，如乙方未达成考核目标的，乙方可以选择申请离职或由甲方转岗、培训或辞退解除本合同，任何一方均不得提起任何异议，否则需赔偿守约方的相关损失。</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所在岗位涉及甲方商业秘密，乙方需遵守离职后竞业限制，期限为解除合同或者合同终止后二年，在此期限内乙方不得自营或为他人经营、任职与单位有竞争的业务，乙方违反此协议，造成甲方经济损失的，赔偿金按经济损失的</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倍处罚，情节严重者直接一次性赔偿</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万元。</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保密条款</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在任何时候，不论是在协议有效期还是协议终止以后，任何一方对在合作过程中了解的有关另一方的保密信息，均应承担保密义务。除非另一方书面同意，任何一方不得在任何时间向任何人透漏任何保密信息。</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争议解决</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本合同的签订、解释及与本合同有关的纠纷解决，均受中华人民共和国现行有效的法律约束。</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因本合同引起的或与本合同有关的任何争议，由合同各方协商解决，也可由有关部门调解。协商或调解不成的，应按下列第</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种方式解决：</w:t>
      </w:r>
    </w:p>
    <w:p>
      <w:pPr>
        <w:pStyle w:val="4"/>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提交</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rPr>
        <w:t>仲裁委员会仲裁。仲裁裁决是终局的，对各方均有约束力；</w:t>
      </w:r>
    </w:p>
    <w:p>
      <w:pPr>
        <w:pStyle w:val="4"/>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依法向</w:t>
      </w:r>
      <w:r>
        <w:rPr>
          <w:rFonts w:hint="eastAsia" w:ascii="微软雅黑" w:hAnsi="微软雅黑" w:eastAsia="微软雅黑" w:cs="微软雅黑"/>
          <w:color w:val="000000"/>
          <w:u w:val="single"/>
        </w:rPr>
        <w:t>  甲方  </w:t>
      </w:r>
      <w:r>
        <w:rPr>
          <w:rFonts w:hint="eastAsia" w:ascii="微软雅黑" w:hAnsi="微软雅黑" w:eastAsia="微软雅黑" w:cs="微软雅黑"/>
          <w:color w:val="000000"/>
        </w:rPr>
        <w:t>所在地有管辖权的人民法院起诉。</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协议附件</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本协议项下的相关条款如有不完善的部分，双方将协商另立书面说明，并作为本协议的附件，是本协议不可分割的一部分。</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如果没有特别说明，本协议各项条款同样适用于协议附件。如果附件中的条款与本协议相抵触，以附件中的说明为准。</w:t>
      </w:r>
    </w:p>
    <w:p>
      <w:pPr>
        <w:pStyle w:val="3"/>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附则</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本合同一式二份，双方当事人各执一份。</w:t>
      </w:r>
    </w:p>
    <w:p>
      <w:pPr>
        <w:pStyle w:val="4"/>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本合同自双方当事人签字或盖章后生效。</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 </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签署时间：    年    月    日</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 </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color w:val="000000"/>
        </w:rPr>
        <w:t>甲方（盖章）：</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法定代表人（签名）：</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 </w:t>
      </w:r>
    </w:p>
    <w:p>
      <w:pPr>
        <w:pStyle w:val="4"/>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color w:val="000000"/>
        </w:rPr>
        <w:t>乙方（签名）：</w:t>
      </w:r>
    </w:p>
    <w:sectPr>
      <w:pgMar w:top="567" w:right="850" w:bottom="567" w:left="85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imfang">
    <w:altName w:val="Segoe Print"/>
    <w:panose1 w:val="00000000000000000000"/>
    <w:charset w:val="00"/>
    <w:family w:val="auto"/>
    <w:pitch w:val="default"/>
    <w:sig w:usb0="00000000" w:usb1="00000000" w:usb2="00000000" w:usb3="00000000" w:csb0="00000000" w:csb1="00000000"/>
  </w:font>
  <w:font w:name="Msyh">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Thousand"/>
      <w:lvlText w:val="%1、"/>
      <w:lvlJc w:val="left"/>
      <w:pPr>
        <w:ind w:left="0"/>
      </w:pPr>
    </w:lvl>
    <w:lvl w:ilvl="1" w:tentative="0">
      <w:start w:val="1"/>
      <w:numFmt w:val="decimalHalfWidth"/>
      <w:lvlText w:val="%2. "/>
      <w:lvlJc w:val="left"/>
      <w:pPr>
        <w:ind w:left="0"/>
      </w:pPr>
    </w:lvl>
    <w:lvl w:ilvl="2" w:tentative="0">
      <w:start w:val="1"/>
      <w:numFmt w:val="decimalHalfWidth"/>
      <w:lvlText w:val="（%3）"/>
      <w:lvlJc w:val="left"/>
      <w:pPr>
        <w:ind w:left="0"/>
      </w:pPr>
    </w:lvl>
    <w:lvl w:ilvl="3" w:tentative="0">
      <w:start w:val="1"/>
      <w:numFmt w:val="lowerLetter"/>
      <w:lvlText w:val="%4. "/>
      <w:lvlJc w:val="left"/>
      <w:pPr>
        <w:ind w:left="0"/>
      </w:pPr>
    </w:lvl>
    <w:lvl w:ilvl="4" w:tentative="0">
      <w:start w:val="1"/>
      <w:numFmt w:val="lowerLetter"/>
      <w:lvlText w:val="（%5）"/>
      <w:lvlJc w:val="left"/>
      <w:pPr>
        <w:ind w:left="0"/>
      </w:pPr>
    </w:lvl>
    <w:lvl w:ilvl="5" w:tentative="0">
      <w:start w:val="1"/>
      <w:numFmt w:val="lowerRoman"/>
      <w:lvlText w:val="%6 "/>
      <w:lvlJc w:val="left"/>
      <w:pPr>
        <w:ind w:left="0"/>
      </w:pPr>
    </w:lvl>
    <w:lvl w:ilvl="6" w:tentative="0">
      <w:start w:val="1"/>
      <w:numFmt w:val="decimalHalfWidth"/>
      <w:lvlText w:val="%7. "/>
      <w:lvlJc w:val="left"/>
      <w:pPr>
        <w:ind w:left="0"/>
      </w:pPr>
    </w:lvl>
    <w:lvl w:ilvl="7" w:tentative="0">
      <w:start w:val="1"/>
      <w:numFmt w:val="decimalHalfWidth"/>
      <w:lvlText w:val="（%8）"/>
      <w:lvlJc w:val="left"/>
      <w:pPr>
        <w:ind w:left="0"/>
      </w:pPr>
    </w:lvl>
    <w:lvl w:ilvl="8" w:tentative="0">
      <w:start w:val="1"/>
      <w:numFmt w:val="lowerLetter"/>
      <w:lvlText w:val="%9. "/>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0"/>
  <w:compat>
    <w:useFELayout/>
    <w:compatSetting w:name="compatibilityMode" w:uri="http://schemas.microsoft.com/office/word" w:val="15"/>
  </w:compat>
  <w:docVars>
    <w:docVar w:name="commondata" w:val="eyJoZGlkIjoiZTE4ODFhZDBmODQzOTQxZjQ2ZDVhMTIzMmZmNjgxNWUifQ=="/>
  </w:docVars>
  <w:rsids>
    <w:rsidRoot w:val="00000000"/>
    <w:rsid w:val="124B2C78"/>
    <w:rsid w:val="167957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rPr>
  </w:style>
  <w:style w:type="paragraph" w:styleId="2">
    <w:name w:val="heading 1"/>
    <w:basedOn w:val="1"/>
    <w:next w:val="1"/>
    <w:qFormat/>
    <w:uiPriority w:val="9"/>
    <w:pPr>
      <w:keepLines/>
      <w:spacing w:before="280" w:beforeAutospacing="0" w:after="280" w:afterAutospacing="0"/>
      <w:jc w:val="center"/>
      <w:outlineLvl w:val="9"/>
    </w:pPr>
    <w:rPr>
      <w:b/>
      <w:color w:val="000000"/>
      <w:sz w:val="36"/>
    </w:rPr>
  </w:style>
  <w:style w:type="paragraph" w:styleId="3">
    <w:name w:val="heading 3"/>
    <w:basedOn w:val="1"/>
    <w:next w:val="1"/>
    <w:autoRedefine/>
    <w:qFormat/>
    <w:uiPriority w:val="9"/>
    <w:pPr>
      <w:keepLines/>
      <w:spacing w:before="280" w:beforeAutospacing="0" w:after="280" w:afterAutospacing="0"/>
      <w:outlineLvl w:val="1"/>
    </w:pPr>
    <w:rPr>
      <w:b/>
      <w:color w:val="000000"/>
      <w:sz w:val="2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99"/>
    <w:pPr>
      <w:spacing w:before="100" w:beforeAutospacing="1" w:after="100" w:afterAutospacing="1"/>
    </w:pPr>
    <w:rPr>
      <w:sz w:val="24"/>
    </w:rPr>
  </w:style>
  <w:style w:type="table" w:customStyle="1" w:styleId="7">
    <w:name w:val="Table Normal"/>
    <w:qFormat/>
    <w:uiPriority w:val="59"/>
    <w:tblPr>
      <w:tblCellMar>
        <w:top w:w="0" w:type="dxa"/>
        <w:left w:w="108" w:type="dxa"/>
        <w:bottom w:w="0" w:type="dxa"/>
        <w:right w:w="108" w:type="dxa"/>
      </w:tblCellMar>
    </w:tblPr>
  </w:style>
  <w:style w:type="paragraph" w:customStyle="1" w:styleId="8">
    <w:name w:val="font-fangsong *"/>
    <w:basedOn w:val="1"/>
    <w:autoRedefine/>
    <w:uiPriority w:val="0"/>
    <w:pPr>
      <w:spacing w:before="100" w:beforeAutospacing="1" w:after="100" w:afterAutospacing="1"/>
    </w:pPr>
    <w:rPr>
      <w:rFonts w:ascii="Simfang" w:hAnsi="Simfang" w:cs="Simfang"/>
      <w:sz w:val="24"/>
    </w:rPr>
  </w:style>
  <w:style w:type="paragraph" w:customStyle="1" w:styleId="9">
    <w:name w:val="font-song *"/>
    <w:basedOn w:val="1"/>
    <w:uiPriority w:val="0"/>
    <w:pPr>
      <w:spacing w:before="100" w:beforeAutospacing="1" w:after="100" w:afterAutospacing="1"/>
    </w:pPr>
    <w:rPr>
      <w:rFonts w:ascii="宋体" w:hAnsi="宋体" w:cs="宋体"/>
      <w:sz w:val="24"/>
    </w:rPr>
  </w:style>
  <w:style w:type="paragraph" w:customStyle="1" w:styleId="10">
    <w:name w:val="font-yahei *"/>
    <w:basedOn w:val="1"/>
    <w:autoRedefine/>
    <w:uiPriority w:val="0"/>
    <w:pPr>
      <w:spacing w:before="100" w:beforeAutospacing="1" w:after="100" w:afterAutospacing="1"/>
    </w:pPr>
    <w:rPr>
      <w:rFonts w:ascii="Msyh" w:hAnsi="Msyh" w:cs="Msyh"/>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in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ine">
      <a:majorFont>
        <a:latin typeface="宋体"/>
        <a:ea typeface="宋体"/>
        <a:cs typeface="宋体"/>
      </a:majorFont>
      <a:minorFont>
        <a:latin typeface="宋体"/>
        <a:ea typeface="宋体"/>
        <a:cs typeface="宋体"/>
      </a:minorFont>
    </a:fontScheme>
    <a:fmtScheme name="Min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1643</Words>
  <Characters>1643</Characters>
  <TotalTime>1</TotalTime>
  <ScaleCrop>false</ScaleCrop>
  <LinksUpToDate>false</LinksUpToDate>
  <CharactersWithSpaces>1758</CharactersWithSpaces>
  <Application>WPS Office_12.1.0.16364_F1E327BC-269C-435d-A152-05C5408002CA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2023-02-09T07:47:00Z</dcterms:created>
  <dc:creator>法天使</dc:creator>
  <cp:lastModifiedBy>WPS_1200962782</cp:lastModifiedBy>
  <dcterms:modified xsi:type="dcterms:W3CDTF">2024-04-26T09:30:28Z</dcterms:modified>
  <dc:title>员工绩效考核协议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812500445A9C4A5C8FB2A13AEEF1D596</vt:lpwstr>
  </property>
</Properties>
</file>