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394F1F1">
      <w:pPr>
        <w:pStyle w:val="2"/>
        <w:keepNext w:val="0"/>
        <w:keepLines w:val="0"/>
        <w:widowControl/>
        <w:suppressLineNumbers w:val="0"/>
      </w:pPr>
      <w:r>
        <w:rPr>
          <w:color w:val="333333"/>
        </w:rPr>
        <w:t>法律能力提升-全景展示</w:t>
      </w:r>
    </w:p>
    <w:p w14:paraId="726FC46F">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 能力提升方法 / 126天变成财总的方法 / 126天变成财总的方法</w:t>
      </w:r>
    </w:p>
    <w:p w14:paraId="4DC20551">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126天变成财总的方法</w:t>
      </w:r>
    </w:p>
    <w:p w14:paraId="1E5AF3A6">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请听视频课程</w:t>
      </w:r>
    </w:p>
    <w:p w14:paraId="75E20E4F">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 能力提升方法 / 126天变成财总的方法 / 126天变成财总的方法</w:t>
      </w:r>
    </w:p>
    <w:p w14:paraId="334067FE">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合同能力提升方法</w:t>
      </w:r>
    </w:p>
    <w:p w14:paraId="427BB7D0">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请听视频课程</w:t>
      </w:r>
    </w:p>
    <w:p w14:paraId="7E4DE833">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3. 采购 / 经营场所 / 经营场所</w:t>
      </w:r>
    </w:p>
    <w:p w14:paraId="4D9ADB59">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《房产租赁合同》</w:t>
      </w:r>
    </w:p>
    <w:p w14:paraId="6FFF3779">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企业租赁经营场所签订合同时的核心法律风险防范与规避指南（附完整政策条文依据）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租赁房屋作为经营场所，是常见的轻资产运营方式。一份严谨的租赁合同是保障企业稳定经营、控制成本、避免纠纷的法律基石。以下结合《中华人民共和国民法典》（以下简称《民法典》）及相关最新法规，系统梳理从签约到退租全流程的核心法律风险、具体规避措施，并完整列举所依据的政策文号与条款内容，同时明确权利负担的官方查询途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 签约前的尽职调查与出租人权利审查风险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此阶段风险关乎租赁关系能否合法、稳定存续，是合同有效性的基础。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风险：出租人主体不适格或租赁物存在权利瑕疵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主体不适格：签约方非房屋所有权人（如二房东未经原房东同意转租），或未经合法授权（如共有人之一擅自出租）。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权利瑕疵：房屋已设立抵押，且抵押权人可能因实现抵押权而要求处置房屋，影响承租人的使用权；房屋被司法机关查封，可能导致租赁合同无法履行或无效。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权属不明：房屋为违法建筑、临时建筑或权属存在争议。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《中华人民共和国民法典》第七百一十六条【转租】：“承租人经出租人同意，可以将租赁物转租给第三人…承租人未经出租人同意转租的，出租人可以解除合同。”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《中华人民共和国民法典》第四百零五条【抵押不破租赁及其例外】：“抵押权设立前，抵押财产已经出租并转移占有的，原租赁关系不受该抵押权的影响。” （反之，抵押权设立后出租的，则租赁关系不得对抗已登记的抵押权）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审理城镇房屋租赁合同纠纷案件具体应用法律若干问题的解释（2020修正）》第二条【违法建筑租赁】：“出租人就未取得建设工程规划许可证或者未按照建设工程规划许可证的规定建设的房屋，与承租人订立的租赁合同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核查权属证明：要求出租人出示不动产权证书（房产证） 原件，核对产权人姓名、房屋坐落、面积、用途（必须为商业或办公等可用于经营的用途）是否一致。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核查共有人与授权：如产权人为多人，应要求所有共有人共同签署合同，或要求签约方出示其他共有人同意出租的书面授权委托书。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核查转租权限：如对方为转租人（二房东），必须查验其与原房东（产权人）签订的租赁合同中明确允许转租的条款，或原房东出具的同意转租的书面文件。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【核心】查询权利负担——不动产登记查询：房屋作为不动产，其抵押、查封等权利限制情况记载于不动产登记簿。查询途径如下：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查询机构：房屋所在地的市/县/区自然资源和规划局（不动产登记中心）。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查询方式：企业可凭营业执照、公章及查询申请书，或委托律师，前往不动产登记中心现场查询。部分城市已开通线上查询平台，可通过当地政务服务网或不动产登记中心官方网站进行查询。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查询内容：申请查询目标房屋的不动产登记簿，重点查看是否存在抵押权登记、查封登记等限制信息。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要求权利保证：在合同中明确约定，出租人保证其有权出租该房屋，保证房屋未被查封、未设立可能影响承租人使用的抵押，并承诺如因权利瑕疵导致承租人损失的，承担全部赔偿责任。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风险：租赁物本身不满足经营需求或存在安全隐患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风险内容：房屋结构、消防、环保等不符合特定经营行业（如餐饮、教育培训）的行政许可要求；房屋存在重大安全隐患。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《中华人民共和国民法典》第七百零八条【出租人交付义务】：“出租人应当按照约定将租赁物交付承租人，并在租赁期限内保持租赁物符合约定的用途。”</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《商品房屋租赁管理办法》（住房和城乡建设部令第6号）第六条【禁止出租情形】：“有下列情形之一的房屋不得出租：…（三）违反规定改变房屋使用性质的；（四）法律、法规规定禁止出租的其他情形。”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明确约定用途：在合同中详细写明租赁房屋的具体经营用途（如“用于经营某某品牌餐饮店”）。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前置行政确认：在签约前，向市场监管、消防、环保等部门咨询，确认该房屋的产权性质、现有条件能否办理目标行业的营业执照及相关许可证。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现场勘查与记录：在交付前，与出租人共同检查房屋状况，并制作附有照片的《房屋交接确认书》，作为合同附件，明确记录瑕疵。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 合同核心条款约定不明与缺失的风险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合同条款的模糊是租赁纠纷最主要的源头。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风险：租赁期限、免租期及续租条件约定不明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风险内容：租期不明确；免租装修期是“免租金”还是“免全部费用”约定不清；续租条件（如优先权行使方式、续租租金）未约定，导致到期无法续租或租金大涨。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三十四条【续租】：“租赁期限届满，承租人继续使用租赁物，出租人没有提出异议的，原租赁合同继续有效，但是租赁期限为不定期。租赁期限届满，房屋承租人享有以同等条件优先承租的权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明确起止日期：明确约定租期起算日（建议以交付日或某个具体日期为准）和终止日。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细化免租期：明确免租期的起止时间、期间是否免除物业费、水电费等，并约定免租期内承租人的违约责任（如提前解约需补交免租期租金）。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设定明确续租权：约定“承租人在租期届满前X个月提出书面续租意向的，在同等市场条件下享有优先承租权”，并尽可能约定续租租金的确定方式（如参照届时市场价或约定一个涨幅上限）。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风险：租金、费用构成及支付方式约定模糊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风险内容：租金是否含税、含物业费、水电费、取暖费等约定不清；租金递增机制不合理或未约定；发票开具责任不明。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《中华人民共和国民法典》第七百二十一条【租金支付】：“承租人应当按照约定的期限支付租金…”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价费分离清单：在合同中以列表形式明确：月租金（税前/税后）、物业费单价、水电费、取暖费、网络费等各项费用的承担方及支付方式。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明确租金调整：约定明确的租金递增周期（如每两年）和比例（如递增5%），避免使用“随行就市”等模糊表述。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约定开票义务：明确约定出租人收到租金后开具增值税专用发票的具体时限，并约定其不开具发票时，承租人有权顺延支付下期租金。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风险：维修责任划分不清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风险内容：房屋主体结构、公共设施、室内设备损坏由谁维修、费用谁承担约定不明，互相推诿。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《中华人民共和国民法典》第七百一十二条【出租人维修义务】：“出租人应当履行租赁物的维修义务，但是当事人另有约定的除外。”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一十三条【维修影响与费用承担】：“承租人在租赁物需要维修时可以请求出租人在合理期限内维修。出租人未履行维修义务的，承租人可以自行维修，费用由出租人负担。因维修租赁物影响承租人使用的，应当相应减少租金或者延长租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分类明确责任：在合同中明确划分：房屋主体结构、外墙、屋顶、公共管道等由出租人负责并承担费用；因承租人使用不当造成的室内设施损坏由承租人负责；消耗品的更换（如灯泡）由承租人负责。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风险：装修、改建与复原条款缺失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风险内容：承租人能否装修、装修方案是否需要审批、租赁期满后装修如何处理（是拆除复原还是补偿）没有约定，极易在退租时产生高额纠纷。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约定装修审批流程：约定“承租人进行装修前，需将装修方案报出租人书面同意，并遵守物业管理规定”。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明确装修归属与复原：明确约定“租赁期满或合同提前终止时，固定装修（不可移动部分）无偿归出租人所有，承租人不得拆除”或“承租人需负责将房屋恢复原状”。避免使用“保持现状交还”等模糊表述。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风险：合同解除与违约责任不对等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风险内容：仅约定承租人提前解约的违约责任，未约定出租人提前收回房屋、房屋存在瑕疵影响经营等情形下的违约责任；违约金过高或过低。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《中华人民共和国民法典》第五百六十三条【合同法定解除】（见前文）。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八十五条【违约金】：“约定的违约金低于造成的损失的，人民法院或者仲裁机构可以根据当事人的请求予以增加；约定的违约金过分高于造成的损失的，人民法院或者仲裁机构可以根据当事人的请求予以适当减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设定对等解约权与违约金：明确约定，若因出租人原因（如权利瑕疵、房屋安全问题）导致承租人无法正常经营，承租人有权单方解除合同，并要求出租人返还押金、预付租金，并赔偿装修损失、搬迁费等。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量化违约金：约定一个合理的违约金计算标准（如相当于X个月租金），并明确该违约金与损失赔偿的关系。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风险：租赁登记备案缺失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风险内容：未办理租赁合同登记备案，可能影响企业办理营业执照、享受某些政策，且在发生“买卖不破租赁”和行使优先购买权时，对抗效力可能减弱。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《商品房屋租赁管理办法》第十四条【租赁备案】：“房屋租赁合同订立后三十日内，房屋租赁当事人应当到租赁房屋所在地直辖市、市、县人民政府建设（房地产）主管部门办理房屋租赁登记备案。”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二十六条【优先购买权】：“出租人出卖租赁房屋的，应当在出卖之前的合理期限内通知承租人，承租人享有以同等条件优先购买的权利；但是，房屋按份共有人行使优先购买权或者出租人将房屋出卖给近亲属的除外。出租人履行通知义务后，承租人在十五日内未明确表示购买的，视为承租人放弃优先购买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主动办理备案：合同签订后，主动协同出租人前往房屋所在地的房地产管理部门（住建局） 办理租赁合同登记备案手续，并将备案凭证作为合同附件。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 核心政策法规依据汇总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法律：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《中华人民共和国民法典》第三编合同编第十四章“租赁合同”（第七百零三条至第七百三十四条）：是处理租赁合同纠纷的根本大法，涵盖了定义、期限、维修、转租、优先购买权等全部核心内容。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第七百零八条：出租人保持租赁物符合约定用途的义务。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第七百一十六条：转租规则。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第七百二十六条：承租人优先购买权。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第七百三十四条：续租与优先承租权。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司法解释：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《最高人民法院关于审理城镇房屋租赁合同纠纷案件具体应用法律若干问题的解释（2020修正）》：对租赁合同效力、装修损失、优先购买权赔偿等司法实践问题作出具体规定。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部门规章：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《商品房屋租赁管理办法》（住房和城乡建设部令第6号）：规定了房屋租赁的条件、合同备案、当事人的权利义务等具体管理要求。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最终建议：租赁合同是企业经营的“地基合同”。强烈建议在签约前，完成对出租人权利和房屋状态的尽职调查，特别是通过不动产登记中心查询抵押、查封情况。合同条款务必详尽、权责对等，尤其关注租期、租金、维修、装修、解约等核心条款。对于长期租赁或大额投入装修的项目，应聘请专业律师审查合同。所有协商过程、交接记录均应采用书面形式并妥善保存，以备争议之需。</w:t>
      </w:r>
    </w:p>
    <w:p w14:paraId="3138DDC5">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4. 采购 / 经营场所 / 经营场所</w:t>
      </w:r>
    </w:p>
    <w:p w14:paraId="15CA0D99">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《不动产买卖合同》</w:t>
      </w:r>
    </w:p>
    <w:p w14:paraId="128CA3B4">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企业购买经营场所（签订购房合同）核心法律风险防范与规避指南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购买不动产作为经营场所，是一项重大资产投资，法律关系复杂、资金占用量大、交易周期长。一份严谨的购房合同是保障企业取得完整、无瑕疵产权，实现稳定经营的根本法律文件。以下结合《中华人民共和国民法典》（以下简称《民法典》）及相关最新法规，系统梳理从意向到过户全流程的核心法律风险、具体规避措施，并完整列举所依据的政策文号与条款内容，同时明确权利状态与负担的官方查询途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 签约前的尽职调查与出卖人权利审查风险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此阶段是交易安全的基础，旨在确保出卖人有合法处分权且标的物可合法转移。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风险：出卖人主体不适格或标的物存在权利瑕疵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主体不适格：签约方非房屋唯一所有权人（如未经其他共有人同意出售），或代理人超越授权范围。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权利瑕疵：房屋已设立抵押权且未涂销，抵押权人可能行使优先受偿权；房屋被司法机关查封，导致无法办理过户登记；房屋上设有居住权登记，影响企业完整使用。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权属不明或性质违法：房屋为小产权房、违法建筑，或土地性质为划拨用地未补缴出让金，导致买卖合同无效或无法过户。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三百零一条【共有财产处分】：“处分共有的不动产或者动产以及对共有的不动产或者动产作重大修缮、变更性质或者用途的，应当经占份额三分之二以上的按份共有人或者全体共同共有人同意，但是共有人之间另有约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四百零六条【抵押财产转让】：“抵押期间，抵押人可以转让抵押财产。当事人另有约定的，按照其约定。抵押财产转让的，抵押权不受影响。…抵押人转让抵押财产的，应当及时通知抵押权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《中华人民共和国民法典》第三百九十九条【禁止抵押的财产】：“下列财产不得抵押：…（四）所有权、使用权不明或者有争议的财产；（五）依法被查封、扣押、监管的财产；…”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核查权属证明：要求出卖人出示不动产权证书（房产证） 原件，核对产权人、共有情况、房屋坐落、面积、用途（必须为商业、办公或工业等可用于经营的用途）是否一致。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核查共有人与授权：如产权证记载为多人共有，必须要求所有共有人共同签署合同，或要求签约方出示其他共有人同意出售并放弃优先购买权的书面公证文件。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【核心】查询权利负担——不动产登记信息查询：房屋的抵押、查封、居住权、异议登记等限制信息均记载于不动产登记簿。根据《不动产登记资料查询暂行办法》，作为利害关系人（买方）有权查询。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查询机构：房屋所在地的市/县/区自然资源和规划局（不动产登记中心）。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查询方式与网址：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线下查询：买方企业可凭营业执照、公章及查询申请书（说明查询目的为“购买”），或委托律师，前往不动产登记中心服务窗口查询，获取加盖查询专用章的《不动产登记资料查询结果证明》。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线上查询：许多城市已开通线上查询平台。例如：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全国性入口：可尝试通过“全国不动产登记网上‘一窗办事’平台”（由自然资源部主办）查找各地链接。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地方平台示例：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北京市：关注“北京市不动产登记”微信公众号或访问官网（bdc.ghzrzyw.beijing.gov.cn）进行“任何人查询”。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广东省：登录“广东政务服务网”，进入“不动产登记”专题，使用“以图查房”功能，可查询房屋自然状况及抵押、查封状态。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其他地区：通常可通过所在省、市的“政务服务网”或“不动产登记中心”官网进行查询（如珠海市bdc.zhuhai.gov.cn）。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查询内容：重点查明是否存在抵押权登记、查封登记、预告登记、异议登记、居住权登记等限制信息。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要求权利保证：在合同中明确约定，出卖人保证对该房屋享有完整、合法、无争议的所有权，保证房屋未被查封、未设立可能影响交易或买方使用的抵押、居住权等权利负担，并承诺如因权利瑕疵导致合同无法履行或买方损失的，承担全部赔偿责任（包括返还房款、赔偿装修损失、支付违约金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风险：标的物不满足企业经营需求或存在重大瑕疵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风险内容：房屋结构、消防、环保、规划等不符合特定行业的行政许可要求；房屋存在主体结构安全隐患、严重质量问题或凶宅等重大瑕疵。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《中华人民共和国民法典》第六百一十五条【标的物的质量要求】：“出卖人应当按照约定的质量要求交付标的物。出卖人提供有关标的物质量说明的，交付的标的物应当符合该说明的质量要求。”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《中华人民共和国民法典》第六百一十七条【质量瑕疵担保责任】：“出卖人交付的标的物不符合质量要求的，买受人可以依据本法第五百八十二条至第五百八十四条的规定请求承担违约责任。”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明确约定用途与条件：在合同中详细写明购买房屋的具体经营用途，并约定房屋现状必须符合办理该用途营业执照及所有相关行政许可（消防、环保、卫生等）的法定条件。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委托专业机构勘查：签约前，可委托专业鉴定机构对房屋主体结构安全性进行检测。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全面尽职调查：向规划、住建、消防等部门核实房屋的报建、验收手续是否齐全，是否存在违建部分（如加层、扩建）可能被责令拆除的风险。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 合同核心条款约定不明与缺失的风险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合同条款的明确与否直接决定交易能否顺利推进及纠纷解决。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风险：交易价款、支付方式与资金监管条款缺失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风险内容：总价是否含税、含各项过户费用约定不清；支付节点未与合同关键义务（如解押、过户递件）挂钩；大额房款直接支付给出卖人，存在被挪用的风险。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九十六条【买卖合同条款】：“买卖合同的内容一般包括标的物的名称、数量、质量、价款、履行期限、履行地点和方式、包装方式、检验标准和方法、结算方式、合同使用的文字及其效力等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价费分离清单：明确房屋成交总价（净得价），并列表约定各项税费（增值税、土地增值税、契税、印花税等）、中介服务费的承担主体。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置附条件支付节点：将大部分房款支付与出卖人完成核心义务绑定。例如：第一笔定金；第二笔于出卖人办妥抵押注销手续并出示证明后支付；第三笔（大部分）于双方共同向不动产登记中心递交过户申请（完成递件）后支付；尾款于房屋完成交付并结清所有物业水电费后支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采用资金监管：强烈建议通过银行资金监管或当地不动产登记中心提供的资金监管服务进行交易。约定房款存入监管账户，在满足合同约定的条件（如完成过户登记）后，再由监管方划给出卖人。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风险：房屋交付、过户登记时间与违约责任约定模糊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风险内容：未约定明确的过户递件日期和交房日期；对于出卖人逾期解押、逾期过户、逾期交房，买受人逾期付款的违约责任约定不明或不对等。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六十三条【合同法定解除】：“有下列情形之一的，当事人可以解除合同：…（三）当事人一方迟延履行主要债务，经催告后在合理期限内仍未履行；（四）当事人一方迟延履行债务或者有其他违约行为致使不能实现合同目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八十五条【违约金】：“当事人可以约定一方违约时应当根据违约情况向对方支付一定数额的违约金，也可以约定因违约产生的损失赔偿额的计算方法。约定的违约金低于造成的损失的，人民法院或者仲裁机构可以根据当事人的请求予以增加；约定的违约金过分高于造成的损失的，人民法院或者仲裁机构可以根据当事人的请求予以适当减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关键时间节点：合同应明确约定“出卖人应于X年X月X日前办妥抵押注销手续”、“双方应于X年X月X日前共同向不动产登记中心申请办理产权转移登记手续”、“出卖人应于产权转移登记至买受人名下后X日内将房屋交付给买受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设定对等且可操作的违约责任：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出卖人逾期履行义务（解押、过户、交房）的，按日计算违约金（如日万分之五），并约定超过一定期限（如30日），买受人有权单方解除合同，要求出卖人承担高额违约金（如总房价20%）并赔偿损失。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买受人逾期付款的，承担相应违约责任。同时约定，因出卖人原因导致买受人无法办理贷款或合同无法履行的，出卖人应承担违约责任。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风险：税费承担约定不明或违反法律规定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风险内容：约定“所有税费由买方承担”，该包税条款可能因显失公平或违反税收法定原则而被认定无效，引发争议。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依法约定承担方：在合同中明确列出各项税、费的法定纳税义务人，再约定实际由哪一方“承担”或“支付”。例如：“增值税、城市维护建设税、教育费附加、土地增值税等出卖方为纳税义务人的税费，约定由买受人承担；契税、印花税等买受人为纳税义务人的税费，由买受人承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风险：房屋内户口迁出、学区名额等附属问题未约定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风险内容：房屋内原有户口未迁出，影响企业后续使用或处置；购买学区房对于名额占用情况未作核实和约定。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户口迁出保证金：约定在支付房款时预留一定数额的“户口迁出保证金”（如5-10万元），待出卖人及房屋内所有户口迁出后支付。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事先核实并书面确认：签约前，要求出卖人提供房屋内户口情况查询单，并在合同中声明房屋内户口情况，承诺限期迁出。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 合同履行过程中的风险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风险：房屋在过户前被查封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风险内容：签约后、过户前，因出卖人其他债务纠纷，房屋被其他法院查封，导致交易无法进行。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加快交易流程：尽快完成网签、资金监管及过户递件手续。一旦完成过户登记，买方取得产权，一般可排除后续查封。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预告登记：根据《民法典》第二百二十一条，当事人签订买卖房屋的协议后，为保障将来实现物权，可以按照约定向登记机构申请预告登记。预告登记后，未经预告登记的权利人同意，处分该不动产的，不发生物权效力。这可以有效防止出卖人“一房二卖”或在过户前设置抵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风险：贷款风险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风险内容：买受人申请的购房贷款未能足额或按时批准，导致其无法按约支付房款构成违约。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在合同中设置贷款条款：明确约定“买受人申请银行贷款，若银行批准的贷款金额少于申请金额，买受人应自筹资金补足差额；若银行不予批准贷款，则双方可选择：买受人自筹全款继续履行，或解除合同（此时可约定买受人承担少量违约金或免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 核心政策法规依据汇总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法律：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《中华人民共和国民法典》：是处理房屋买卖合同纠纷的根本大法。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第二百零九条：不动产物权登记生效原则。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第二百二十一条：预告登记制度。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第三百零一条：共有财产处分规则。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第五百六十三条：合同法定解除情形。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第五百九十六条：买卖合同内容提示。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第六百一十五条、第六百一十七条：出卖人质量担保责任。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第六百五十八条：赠与合同的任意撤销权及其限制（如涉及公益性质）。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行政法规：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《不动产登记暂行条例》（国务院令第656号，2024年修订）：规定了不动产登记的种类、机构、程序和资料查询等基本制度。其第二十七条明确权利人、利害关系人可查询复制不动产登记资料。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部门规章：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不动产登记资料查询暂行办法》（自然资源部令，2024年、2025年修订）：详细规定了不动产权利人、利害关系人（包括买方）查询不动产登记资料的具体条件、程序和方式。其第四条、第七条、第二十一条是买方进行权利调查的直接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最终建议：企业购房是战略性投资，法律风险环环相扣。强烈建议在签约前，聘请专业房地产律师进行全程尽职调查和合同审查。务必使用资金监管保障交易安全，并尽快办理网签备案及预告登记以锁定房屋权利。所有步骤均应保留书面证据，确保在发生争议时处于有利地位。</w:t>
      </w:r>
    </w:p>
    <w:p w14:paraId="40095515">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5. 采购 / 经营场所 / 经营场所</w:t>
      </w:r>
    </w:p>
    <w:p w14:paraId="02ED1AC7">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《建设工程施工合同》</w:t>
      </w:r>
    </w:p>
    <w:p w14:paraId="4D685F2F">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企业自行建造经营场所（签订建设工程施工合同）核心法律风险防范与规避指南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自行建造经营场所，是获取定制化、符合特定生产需求的固定资产的重要方式。建设工程施工合同（以下简称“施工合同”）具有投资大、周期长、技术复杂、参与方多等特点，法律风险贯穿于项目始终。一份严谨的施工合同是保障工程按期、保质、保量、安全完成，并最终取得合法产权凭证的根本法律文件。以下结合《中华人民共和国民法典》（以下简称《民法典》）、《中华人民共和国建筑法》（以下简称《建筑法》）及相关最新法规，系统梳理从招投标到保修期结束全流程的核心法律风险、具体规避措施，并完整列举所依据的政策文号与条款内容，同时明确施工方资质及动产权利负担的官方查询途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 签约前的尽职调查与施工方资格审查风险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此阶段是确保合同合法有效、选择合格履约主体的基础，直接决定工程成败。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风险：施工方主体不适格——资质不符、挂靠、转包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资质不符：施工方不具备与工程项目规模、性质相匹配的建筑业企业资质。根据法律规定，无资质、超越资质等级签订的施工合同无效。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挂靠经营：实际施工人（个人或低资质单位）借用有资质企业的名义承揽工程。一旦发生质量安全事故或纠纷，被挂靠单位与实际施工人责任不清，发包人（企业）权益难以保障。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非法转包、违法分包：施工方将其承包的全部工程转给他人，或将工程主体结构分包，或分包给无资质单位。这会导致管理链条断裂，工程质量失控。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九十一条【禁止支解发包、转包与违法分包】：“…承包人不得将其承包的全部建设工程转包给第三人或者将其承包的全部建设工程支解以后以分包的名义分别转包给第三人。禁止承包人将工程分包给不具备相应资质条件的单位。禁止分包单位将其承包的工程再分包。建设工程主体结构的施工必须由承包人自行完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审理建设工程施工合同纠纷案件适用法律问题的解释（一）》第一条【合同无效情形】：“建设工程施工合同具有下列情形之一的，应当依据民法典第一百五十三条第一款的规定，认定无效：（一）承包人未取得建筑业企业资质或者超越资质等级的；（二）没有资质的实际施工人借用有资质的建筑施工企业名义的；（三）建设工程必须进行招标而未招标或者中标无效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【核心】施工方资质官方查询——全国建筑市场监管公共服务平台（四库一平台）：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查询机构：中华人民共和国住房和城乡建设部。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系统网址：https://jzsc.mohurd.gov.cn。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查询内容与操作：登录平台，输入施工方企业全称或统一社会信用代码，重点核查：1. 资质类别与等级（如：建筑工程施工总承包一级）是否覆盖本项目；2. 资质证书有效期是否已过期；3. 资质状态是否被标注为“异常”、“注销”或“撤销”；4. 注册人员（如项目经理、技术负责人）的执业资格及是否在该企业注册；5. 不良行为记录和黑名单记录。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合同条款约束：在合同中明确约定，施工方承诺其资质真实有效且与工程匹配，项目主要管理人员（项目经理、技术负责人、安全员等）必须与投标文件及“四库一平台”备案人员一致，未经发包人书面同意不得更换。明确禁止转包、违法分包及挂靠，并约定此类行为构成根本违约，发包人有权单方解除合同并追究高额违约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核查人员社保：要求施工方提供项目关键管理人员在本单位缴纳社保的证明，以防范挂靠风险。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风险：施工方用于工程的设备、材料存在权利瑕疵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施工方将其用于本工程的施工设备、周转材料或已进场安装的工程设备，为其他债务设立了抵押、质押（特别是浮动抵押）或融资租赁。一旦施工方未能清偿债务，担保权人可能主张权利，导致设备被查封、扣押，严重影响工程进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《中华人民共和国民法典》第四百零六条【抵押财产转让】：“抵押期间，抵押人可以转让抵押财产。…抵押财产转让的，抵押权不受影响。”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《国务院关于实施动产和权利担保统一登记的决定》（国发〔2020〕18号）：明确将生产设备、原材料等抵押纳入统一登记范围。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【核心】动产权利负担官方查询——动产融资统一登记公示系统（中登网）：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查询内容：作为利害关系人，注册为普通用户后，可以担保人（即施工方）的法定注册名称进行查询，系统将展示该施工方名下所有正在公示的动产担保登记信息，包括生产设备抵押、融资租赁、所有权保留等。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合同条款约束：在合同中要求施工方承诺，其投入本工程的所有设备、材料、构件均未设置任何担保物权，并保证在工程竣工移交前不会为其设置。可约定发包人有权定期通过“中登网”复查，如发现权利瑕疵，有权要求施工方立即更换设备或提供担保，并承担由此造成的一切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 合同核心条款约定不明与缺失的风险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合同条款是双方权利义务的准绳，模糊之处即是纠纷之源。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风险：工程范围、内容及质量标准约定不清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约定“按图施工”，但图纸不完整、存在矛盾或未明确技术标准；对材料、设备的品牌、规格、型号、技术参数约定模糊；未明确工程质量应达到的国家标准、行业标准或地方标准的具体名称和等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九十五条【施工合同内容】：“施工合同的内容一般包括工程范围、建设工期、中间交工工程的开工和竣工时间、工程质量、工程造价、技术资料交付时间、材料和设备供应责任、拨款和结算、竣工验收、质量保修范围和质量保证期、相互协作等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固化技术文件：将完整的施工图纸、技术规范说明书、工程量清单作为合同的核心附件。任何变更必须通过正式的工程签证单或设计变更通知，并经双方确认。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明确材料设备标准：对重要材料设备，在合同中或单独的技术协议中明确品牌范围（或指定品牌）、技术参数、验收标准。约定样品封存制度。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风险：合同价款、支付方式与结算机制存在漏洞</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采用固定总价合同但工程范围不清，导致大量变更索赔；采用成本加酬金合同但成本控制机制缺失；进度款支付节点未与形象进度、质量验收挂钩；竣工结算流程、期限、争议处理方式未约定，导致尾款久拖不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八百零七条【工程价款优先受偿权】：“发包人未按照约定支付价款的，承包人可以催告发包人在合理期限内支付价款。发包人逾期不支付的，除根据建设工程的性质不宜折价、拍卖外，承包人可以与发包人协议将该工程折价，也可以请求人民法院将该工程依法拍卖。建设工程的价款就该工程折价或者拍卖的价款优先受偿。”（此条款对发包人构成重大履约压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选择合适计价方式：根据项目设计深度，审慎选择固定总价、单价合同或成本加酬金合同。固定总价合同必须配以清晰、封闭的工程范围。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置附条件支付节点：将进度款支付与已完成合格工程量的确认紧密绑定。例如，约定“承包人每月25日提交经监理和发包人审核确认的工程量报表及支付申请，发包人在收到后14日内支付至已完工程量价款的80%”。</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完善结算条款：明确约定竣工结算报告的提交时限、发包人的审核时限（如28天）、对审核结果有异议时的处理程序（如委托第三方造价咨询机构评审），并约定发包人无正当理由逾期不结算的，视为认可承包人提交的结算报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风险：工期、延误与索赔程序约定模糊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风险内容：开工日期、竣工日期定义不清；未区分工期延误的责任（发包人原因、承包人原因、不可抗力）；未约定索赔的程序和时效，导致索赔权利丧失。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八百零三条【发包人原因导致工期延误】：“发包人未按照约定的时间和要求提供原材料、设备、场地、资金、技术资料的，承包人可以顺延工程日期，并有权请求赔偿停工、窝工等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明确定义关键日期：明确约定“开工日期”以发包人或监理发出的开工令载明日期为准；“竣工日期”以工程竣工验收合格报告签署日期为准。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设定明确的索赔程序：约定“任何一方认为有权获得工期顺延或费用补偿，应在事件发生后28天内发出书面索赔意向通知，并在发出通知后56天内提交详细的索赔报告和证据。逾期未提出，视为放弃索赔权利。”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风险：工程质量、安全责任与保修条款不健全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风险内容：未约定隐蔽工程验收程序；未明确安全事故的责任划分；保修期起算点不合理（如从“竣工”而非“竣工验收合格”起算）、保修范围不清、响应时间过长。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八百零一条【施工人质量责任】：“因施工人的原因致使建设工程质量不符合约定的，发包人有权请求施工人在合理期限内无偿修理或者返工、改建。经过修理或者返工、改建后，造成逾期交付的，施工人应当承担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建设工程质量管理条例》第四十条【最低保修期限】：“在正常使用条件下，建设工程的最低保修期限为：（一）基础设施工程、房屋建筑的地基基础工程和主体结构工程，为设计文件规定的该工程的合理使用年限；（二）屋面防水工程、有防水要求的卫生间、房间和外墙面的防渗漏，为5年；（三）供热与供冷系统，为2个采暖期、供冷期；（四）电气管线、给排水管道、设备安装和装修工程，为2年。其他项目的保修期限由发包方与承包方约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严格验收程序：约定隐蔽工程必须经发包人（或监理）现场验收签字后方可覆盖。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明确安全责任：约定施工方对施工现场的安全负总责，必须为现场人员购买足额工伤保险和安全生产责任险。因施工方原因造成安全事故的，全部责任由其承担。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细化保修义务：约定保修期自工程竣工验收合格之日起算。明确保修范围、保修期内质量问题的响应时限（如24小时内到场）、修复时限，并约定施工方不履行保修义务时，发包人有权自行委托第三方维修，费用从质量保证金中扣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风险：违约责任不对等或救济措施不足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对施工方工期延误设定了较低的日违约金，未对质量不合格、安全事故等设定违约责任；未约定发包人逾期付款的明确责任；未赋予发包人在施工方严重违约（如停工、质量重大缺陷）时的合同解除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六十三条【合同法定解除】：“有下列情形之一的，当事人可以解除合同：…（三）当事人一方迟延履行主要债务，经催告后在合理期限内仍未履行；（四）当事人一方迟延履行债务或者有其他违约行为致使不能实现合同目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对等且具威慑力的违约责任：针对施工方主要义务（工期、质量、安全）分别设定明确的违约金。例如，工期延误违约金可按日计算（如合同总价的万分之五），并设置上限（如合同总价的10%）。质量不合格，除要求无偿返修外，可处以高额罚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保留单方解除权：明确约定，当施工方出现转包、违法分包、停工超过X天、发生重大质量安全事故、明确表示无力继续履行等根本违约情形时，发包人有权单方解除合同，清退现场，并追究其赔偿责任。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 核心政策法规依据汇总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法律：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《中华人民共和国民法典》第三编合同编第十八章“建设工程合同”（第七百八十八条至第八百零八条）：是处理施工合同纠纷的根本大法。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第七百八十八条：建设工程合同定义。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第七百九十一条：禁止支解发包、转包与违法分包。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第七百九十三条：施工合同无效后的折价补偿。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第八百零一条：施工人质量责任。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第八百零三条：发包人原因导致工期延误的责任。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第八百零七条：承包人工程价款优先受偿权。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《中华人民共和国建筑法》：对建筑许可、发包承包、工程监理、安全生产管理、工程质量等作出专门规定。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行政法规：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《建设工程质量管理条例》（国务院令第279号）：详细规定了建设、勘察、设计、施工、监理等单位的质量责任和义务，以及工程质量保修制度。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司法解释：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《最高人民法院关于审理建设工程施工合同纠纷案件适用法律问题的解释（一）》（法释〔2020〕25号）：对合同效力、工期、质量、结算、鉴定、优先受偿权等司法实践问题作出具体规定。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最终建议：自行建造工程是企业面临的最复杂的法律事务之一。强烈建议在项目启动前，即聘请兼具建设工程专业知识和法律经验的律师或咨询团队全程介入，从招标文件、合同起草谈判到履约管理、竣工结算提供全方位支持。务必在签约前完成对施工方资质的“四库一平台”官方核查，并考虑对其主要施工设备进行“中登网”权利负担查询。合同履行中，所有指令、变更、确认都必须采用书面形式，建立完善的工程档案。通过事前严密防范、事中严格管理，才能最大程度降低风险，确保项目成功。</w:t>
      </w:r>
    </w:p>
    <w:p w14:paraId="439DF69F">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6. 采购 / 长期资产 / 长期资产</w:t>
      </w:r>
    </w:p>
    <w:p w14:paraId="20EC175E">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《长期资产买卖合同》</w:t>
      </w:r>
    </w:p>
    <w:p w14:paraId="17C1D461">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企业购入经营设备或动产固定资产签订合同时的核心法律风险防范与规避指南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购置生产经营设备等动产固定资产，是保障和扩大再生产的关键投资。与不动产交易不同，动产买卖更注重标的物本身的技术匹配性、交付状态和后续服务，且权利公示体系特殊。一份严谨的买卖合同是确保“物有所值”、保障生产连续性的法律屏障。以下结合《中华人民共和国民法典》（以下简称《民法典》）及相关最新法规，系统梳理从选型到售后全流程的核心法律风险、具体规避措施，并完整列举所依据的政策文号与条款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 签约前的尽职调查与标的物审查风险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此阶段风险关乎交易基础是否稳固，直接决定合同目的能否实现，其中对设备权利状态的核查是重中之重。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风险：出卖方主体不适格或标的物存在权利瑕疵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主体不适格：签约方非设备所有权人，或未经合法授权（如代理商越权销售）。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权利瑕疵：设备已为第三方设立抵押、质押（特别是浮动抵押），或被司法机关查封、扣押。这导致买受人可能陷入与担保权人的纠纷，设备可能被追及、执行，影响正常使用。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来源不明：设备为赃物或通过其他非法途径取得，导致所有权无法合法转移。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三百一十一条【善意取得】：“无处分权人将不动产或者动产转让给受让人的，所有权人有权追回；除法律另有规定外，符合下列情形的，受让人取得该不动产或者动产的所有权：(一)受让人受让该不动产或者动产时是善意；(二)以合理的价格转让；(三)转让的不动产或者动产依照法律规定应当登记的已经登记，不需要登记的已经交付给受让人。受让人依据前款规定取得不动产或者动产的所有权的，原所有权人有权向无处分权人请求损害赔偿。当事人善意取得其他物权的，参照适用前两款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九十七条【无权处分效力】：“因出卖人未取得处分权致使标的物所有权不能转移的，买受人可以解除合同并请求出卖人承担违约责任。法律、行政法规禁止或者限制转让的标的物，依照其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核查主体与授权：审查出卖方的营业执照、经营范围。若为代理商，必须查验生产厂家出具的独家代理授权书或销售授权书原件。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查询权利负担——官方唯一渠道：根据《国务院关于实施动产和权利担保统一登记的决定》（国发〔2020〕18号），自2021年1月1日起，生产设备、原材料、半成品、产品抵押等动产担保登记统一由中国人民银行征信中心办理。查询应通过其运营的 “动产融资统一登记公示系统”（简称“中登网”）。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依据：《动产和权利担保统一登记办法》（中国人民银行令〔2021〕第7号）第四条：“征信中心建立基于互联网的动产融资统一登记公示系统（以下简称统一登记系统）为社会公众提供动产和权利担保登记和查询服务。”第二十五条：“任何法人、非法人组织和自然人均可以在注册为统一登记系统的用户后，查询动产和权利担保登记信息。”第二十六条：“担保人为法人、非法人组织的，查询人以担保人的法定注册名称进行查询。”网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要求权利保证：在合同中明确约定，出卖方保证对设备享有完整、无争议的所有权，未设置任何担保物权，并承诺如因权利瑕疵导致买受人损失的，承担全部赔偿责任。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风险：标的物不满足企业经营需求或合规要求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风险内容：设备的技术参数、产能、能耗、环保排放标准等不符合企业生产工艺要求，或不符合国家强制性安全、环保标准，导致无法投入使用或被行政处罚。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《中华人民共和国民法典》第六百一十五条【标的物的质量要求】：“出卖人应当按照约定的质量要求交付标的物。出卖人提供有关标的物质量说明的，交付的标的物应当符合该说明的质量要求。”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前置技术确认：要求出卖方提供详细的技术规格书、操作手册、能耗及排放数据，并由企业技术部门进行书面确认。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明确合规要求：在合同中明确设备必须符合的国家标准、行业标准及地方环保、安全法规的具体名称和编号，并约定此为交付验收的强制性条件。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 合同核心条款约定不明与缺失的风险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合同条款的模糊是设备采购纠纷最主要的源头，尤其在技术细节和后续服务方面。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风险：标的物描述与技术规格约定模糊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风险内容：仅约定设备名称和型号，未明确具体配置、附件、备品备件清单、软件版本、技术参数公差范围等。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九十六条【买卖合同条款】：“买卖合同的内容一般包括标的物的名称、数量、质量、价款、履行期限、履行地点和方式、包装方式、检验标准和方法、结算方式、合同使用的文字及其效力等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附件固化技术状态：将详细的技术协议、配置清单、图纸、技术规格说明书等作为合同不可分割的附件。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风险：价格、支付与交付条款设置不当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风险内容：总价包含项目不清；支付节点未与交付、验收等出卖方义务履行挂钩；交付地点与风险转移时点约定不明。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零三条【标的物交付地点】：“出卖人应当按照约定的地点交付标的物。当事人没有约定交付地点或者约定不明确，依据本法第五百一十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《中华人民共和国民法典》第六百零四条【标的物风险负担】：“标的物毁损、灭失的风险，在标的物交付之前由出卖人承担，交付之后由买受人承担，但是法律另有规定或者当事人另有约定的除外。”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价费分离：在合同中以列表形式明确分项价格。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设置对等支付节点：将大部分货款支付与设备运抵现场开箱检验合格、安装调试完毕并最终验收合格等关键节点绑定。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明确交付标准：强烈建议约定以“设备在买方指定地点完成安装调试并最终验收合格”作为实质交付完成和风险转移的时点。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风险：验收标准、程序与异议期缺失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风险内容：未约定明确的验收标准、方法和期限；未约定买方的检验异议期，可能导致事后发现质量问题无法索赔。</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二十二条【检验期限过短时的处理】：“当事人约定的检验期限过短，根据标的物的性质和交易习惯，买受人在检验期限内难以完成全面检验的，该期限仅视为买受人对标的物的外观瑕疵提出异议的期限。约定的检验期限或者质量保证期短于法律、行政法规规定期限的，应当以法律、行政法规规定的期限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设定严密的验收流程：约定包括“到货开箱检验”、“安装调试检验”和“最终性能验收”在内的多阶段验收程序。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明确异议期（检验期）：明确约定买方在收到设备后有一定期限（如15日或30日）进行数量和质量检验，发现不符应在该期限内书面通知卖方。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风险：质量保证、售后服务与保修条款不健全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风险内容：保修期过短或起算点不合理；未约定售后响应时间、维修期限。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《中华人民共和国民法典》第六百一十七条【质量瑕疵担保责任】：“出卖人交付的标的物不符合质量要求的，买受人可以依据本法第五百八十二条至第五百八十四条的规定请求承担违约责任。”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延长并明确保修期：争取尽可能长的保修期，并明确约定保修期从“设备最终验收合格之日”起算。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细化服务承诺：约定出卖方提供故障报修后X小时内响应，Y小时内到达现场，Z小时内修复。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风险：违约责任不对等或救济措施不足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风险内容：仅规定买方逾期付款的违约责任，对出卖方逾期交货、验收不合格等情形约定模糊或违约金过低；未约定买方的合同解除权。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六十三条【合同法定解除】：“有下列情形之一的，当事人可以解除合同：(一)因不可抗力致使不能实现合同目的；(二)在履行期限届满前，当事人一方明确表示或者以自己的行为表明不履行主要债务；(三)当事人一方迟延履行主要债务，经催告后在合理期限内仍未履行；(四)当事人一方迟延履行债务或者有其他违约行为致使不能实现合同目的；(五)法律规定的其他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设定对等违约条款：针对出卖方每一项主要义务，设定明确的违约金计算方式。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保留单方解除权：约定出卖方出现根本违约情形时（如交货迟延超过X日、经多次调试仍无法通过最终验收），买方有权单方解除合同，要求返还已付款项并索赔损失。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 核心政策法规依据汇总（按效力层级）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法律：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《中华人民共和国民法典》：是处理设备买卖合同纠纷的根本大法。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第三百一十一条：善意取得制度。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第五百九十六条：买卖合同内容提示性规定。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第五百九十七条：无权处分效力。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第六百零三条：标的物交付地点确定规则。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第六百零四条：标的物风险负担基本规则。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第六百一十五条：标的物质量要求。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第六百一十七条：质量瑕疵担保责任。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第六百二十二条：检验期限过短时的处理。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第五百六十三条：合同法定解除情形。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行政法规决定：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《国务院关于实施动产和权利担保统一登记的决定》（国发〔2020〕18号）：确立了动产担保统一登记制度，将生产设备等抵押登记职能划归中国人民银行征信中心。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部门规章：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《动产和权利担保统一登记办法》（中国人民银行令〔2021〕第7号）：具体规定了统一登记的操作规则，明确征信中心建立“动产融资统一登记公示系统”提供查询服务。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最终建议：设备采购合同专业性强、风险点密布。强烈建议在合同签订前，组建由采购、技术、法务（或外聘律师）组成的联合团队。务必在付款前完成对出卖方的主体资质审查，并登录“中登网”（https://www.zhongdengwang.org.cn）查询标的设备是否存在抵押、质押等权利负担。坚持“先签合同，后付款”，利用付款节点作为履约杠杆。所有沟通、变更均采用书面形式并妥善保存，以备争议之需。</w:t>
      </w:r>
    </w:p>
    <w:p w14:paraId="74BDDA74">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7. 采购 / 长期资产 / 长期资产</w:t>
      </w:r>
    </w:p>
    <w:p w14:paraId="1E993F78">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《长期资产租赁合同》</w:t>
      </w:r>
    </w:p>
    <w:p w14:paraId="17CAE807">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企业租赁生产设备或动产固定资产签订合同时的核心法律风险防范与规避指南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通过租赁方式获取生产设备、机械、车辆等动产固定资产，是一种灵活、高效的轻资产运营策略。然而，动产租赁合同（尤其是经营性租赁或融资租赁）涉及标的物的占有、使用、收益和潜在的权利负担，法律风险点密集。一份严谨的租赁合同是保障企业持续、稳定获得设备使用权，避免生产中断和财务损失的关键。以下结合《中华人民共和国民法典》（以下简称《民法典》）及相关最新法规，系统梳理从选型到返还全流程的核心法律风险、具体规避措施，并完整列举所依据的政策文号与条款内容，同时明确动产权利负担的官方查询途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 签约前的尽职调查与出租人权利审查风险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此阶段旨在确保出租人有权出租且设备本身无法律瑕疵，是交易安全的第一道防线。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风险：出租人主体不适格或租赁物存在权利瑕疵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主体不适格：签约方非设备所有权人（如承租人转租未经所有权人同意），或代理人超越授权范围。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权利瑕疵：设备已为第三方设立抵押权、质押权或处于融资租赁期间，所有权人（或担保物权人）可能随时追索、扣押设备，导致企业生产经营突然中断。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权属不明：设备为赃物、走私物或来源不合法，导致租赁合同无效，设备被司法机关没收。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《中华人民共和国民法典》第七百一十六条【转租】：“承租人经出租人同意，可以将租赁物转租给第三人…承租人未经出租人同意转租的，出租人可以解除合同。”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《中华人民共和国民法典》第四百零六条【抵押财产转让】：“抵押期间，抵押人可以转让抵押财产。…抵押财产转让的，抵押权不受影响。” （该原则同样适用于出租已抵押的动产）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二十四条【非因承租人原因合同解除】：“有下列情形之一，非因承租人原因致使租赁物无法使用的，承租人可以解除合同：（一）租赁物被司法机关或者行政机关依法查封、扣押；（二）租赁物权属有争议；（三）租赁物具有违反法律、行政法规关于使用条件的强制性规定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核查所有权证明：要求出租人提供设备的原始购买发票、购销合同、机动车登记证书等权属证明文件。对于大型设备，可要求其出具《所有权声明函》。</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核查转租权限：如对方为转租人，必须查验其与设备所有权人签订的原始合同中明确允许转租的条款，或所有权人出具的同意转租的书面授权文件。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查询动产权利负担——动产融资统一登记公示系统（中登网）：根据《国务院关于实施动产和权利担保统一登记的决定》（国发〔2020〕18号），生产设备、原材料等动产抵押、所有权保留、融资租赁等担保登记统一由中国人民银行征信中心办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依据与操作：依据《动产和权利担保统一登记办法》（中国人民银行令〔2021〕第7号）第二十五条、二十六条，任何组织均可注册为用户。以出租人（担保人）的法定注册名称进行查询，可查明该设备是否已被设立抵押、融资租赁等权利负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要求权利保证与赔偿：在合同中明确约定，出租人保证其对设备享有完整、无争议的所有权或出租权，保证设备未设置任何可能影响承租人使用的担保物权，并承诺如因权利瑕疵导致设备被扣押、追索或承租人无法使用的，出租人承担全部赔偿责任（包括停产损失、租赁费返还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风险：租赁物不满足特定生产经营需求或存在质量隐患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风险内容：设备的技术参数、产能、精度、能耗等不符合生产工艺要求；设备存在隐蔽性质量缺陷或已超过安全使用年限，运行时易发生故障或安全事故。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《中华人民共和国民法典》第七百零八条【出租人交付义务】：“出租人应当按照约定将租赁物交付承租人，并在租赁期限内保持租赁物符合约定的用途。”</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《中华人民共和国民法典》第六百一十七条【质量瑕疵担保责任】：“出卖人交付的标的物不符合质量要求的，买受人可以依据本法第五百八十二条至第五百八十四条的规定请求承担违约责任。” （该原则通过第七百四十六条准用于融资租赁，对经营性租赁亦有参照意义）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明确约定用途与技术标准：在合同附件中详细列明租赁设备的品牌、型号、序列号、出厂日期、主要技术参数及性能指标，并明确约定其用于“某某特定生产工艺”。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委托第三方检验：对于高价值或关键设备，可在交付前共同委托有资质的第三方检测机构进行交付前检验，出具检验报告作为合同附件。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设定试运行期：约定设备交付后有一个合理的试运行期（如7-15天），在此期间如发现设备无法达到约定性能，承租人有权要求更换、维修或解除合同。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 合同核心条款约定不明与缺失的风险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合同条款的明确性是划分责任、解决争议的根本依据。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风险：租赁物描述、交付与返还状态约定模糊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风险内容：设备清单不详细，附件、备品备件缺失；交付时未共同验收确认状态；合同期满返还时，对设备正常磨损与人为损坏的界定标准不清，引发押金扣款纠纷。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《中华人民共和国民法典》第七百零三条【租赁合同定义】：“租赁合同是出租人将租赁物交付承租人使用、收益，承租人支付租金的合同。”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制作详细交接清单：合同附件中必须包含《设备及附件清单》，并附关键部位照片。交付与返还时，双方均需签署《设备交接确认书》，详细记录设备状况、仪表读数等。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明确损耗标准：在合同中约定“正常磨损”的定义或标准（可参照行业惯例），并明确非正常损坏的赔偿计算方式。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风险：租金、费用构成及支付方式约定不清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风险内容：租金是否含税、含保险费、含维修保养费约定不明；租金支付周期、逾期违约金计算方式未约定；发票开具义务不明。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二十一条【租金支付】：“承租人应当按照约定的期限支付租金。对支付租金的期限没有约定或者约定不明确，依据本法第五百一十条的规定仍不能确定，租赁期限不满一年的，应当在租赁期限届满时支付；租赁期限一年以上的，应当在每届满一年时支付，剩余期限不满一年的，应当在租赁期限届满时支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价费分离：明确约定：月租金（不含税）、增值税税率及金额、设备保险费承担方、日常维护保养责任方。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绑定支付与履约：可将租金支付与出租人提供维修服务、购买保险等义务适当挂钩。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明确开票义务：约定出租人收到租金后若干工作日内必须开具合规的增值税专用发票，否则承租人有权顺延支付下期租金。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风险：维修保养、配件供应责任划分不清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风险内容：设备故障后的报修响应时间、维修时限未约定；维修期间租金是否减免或顺延未约定；专用配件由谁供应、费用谁承担约定不明。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《中华人民共和国民法典》第七百一十二条【出租人维修义务】：“出租人应当履行租赁物的维修义务，但是当事人另有约定的除外。”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《中华人民共和国民法典》第七百一十三条【维修费用承担】：“…因维修租赁物影响承租人使用的，应当相应减少租金或者延长租期。”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分类明确责任：约定“因设备本身质量问题或自然损耗导致的故障，由出租人负责维修并承担费用；因承租人操作不当导致的损坏，由承租人负责维修并承担费用”。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量化服务承诺：约定出租人提供7×24小时应急响应，故障报修后X小时内到场，Y小时内修复。若超时，则按日减免租金或按约定支付违约金。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约定备用机或租金减免：对于关键生产设备，可约定若维修时间超过一定期限（如48小时），出租人需提供同等性能的备用设备，或直接减免该期间的租金。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风险：保险责任缺失或不足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风险内容：未约定设备必须投保财产险，或保险金额不足；未约定将承租人列为共同被保险人或附加“承租人责任险”，导致设备损毁或造成第三方损失时，保险公司拒赔或赔偿不足。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强制投保并明确细节：在合同中约定，出租人必须为设备购买足额的财产一切险，并将承租人列为共同被保险人。同时，应购买公众责任险或要求承租人以自己名义购买相关责任险。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查验保险凭证：要求出租人在交付设备前提供保单复印件，并确保保险覆盖整个租赁期。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风险：合同解除、违约责任与损害赔偿条款不对等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风险内容：仅约定承租人违约的责任，未约定出租人违约（如设备权利瑕疵、无法提供维修服务）的责任；违约金约定过高或过低；未明确设备被第三方追索时，承租人的停产损失、搬迁费等间接损失如何赔偿。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六十三条【合同法定解除】：“有下列情形之一的，当事人可以解除合同：…（三）当事人一方迟延履行主要债务，经催告后在合理期限内仍未履行；（四）当事人一方迟延履行债务或者有其他违约行为致使不能实现合同目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八十五条【违约金】：“约定的违约金低于造成的损失的，人民法院或者仲裁机构可以根据当事人的请求予以增加；约定的违约金过分高于造成的损失的，人民法院或者仲裁机构可以根据当事人的请求予以适当减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对等解约权：明确约定，若因出租人原因（权利瑕疵、无法修复故障）导致设备无法使用超过X日，承租人有权单方解除合同，并要求出租人返还已付租金、押金，并赔偿因此造成的直接经济损失（如替代设备租赁差价、停产导致的订单违约损失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量化损失赔偿范围：在争议解决条款中，明确约定“损失赔偿范围包括但不限于直接经济损失和可预见的间接损失”，以增强索赔依据。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 核心政策法规依据汇总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法律：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《中华人民共和国民法典》第三编合同编第十四章“租赁合同”（第七百零三条至第七百三十四条）：是处理所有租赁合同纠纷的根本大法。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第七百零八条：出租人保持租赁物符合约定用途的义务。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第七百一十二条、第七百一十三条：出租人的维修义务及承租人自行维修的权利。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第七百二十四条：非因承租人原因导致无法使用时的合同解除权。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第七百二十五条：买卖不破租赁原则（同样适用于动产）。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第七百三十四条：优先承租权。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行政法规决定：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《国务院关于实施动产和权利担保统一登记的决定》（国发〔2020〕18号）：确立了动产担保统一登记制度，为查询设备权利负担提供了法律基础。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部门规章：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《动产和权利担保统一登记办法》（中国人民银行令〔2021〕第7号）：具体规定了统一登记的操作规则，明确了查询的权利和方法。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最终建议：动产租赁合同是企业生产的“血脉合同”。强烈建议在签约前，完成对出租人权利和设备状态的尽职调查，务必通过“中登网”（https://www.zhongdengwang.org.cn）查询设备是否存在抵押等权利负担。合同条款应极度细化，特别是关于设备描述、维修响应、保险和违约责任的部分。对于长期、高价值的设备租赁，应聘请专业律师结合企业的具体生产工艺需求审查合同。所有交付、验收、维修记录均须书面化并由双方签字确认，形成完整的履约证据链，以应对可能发生的任何争议。</w:t>
      </w:r>
    </w:p>
    <w:p w14:paraId="4E984BA1">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8. 采购 / 长期资产 / 长期资产</w:t>
      </w:r>
    </w:p>
    <w:p w14:paraId="7D50B5A4">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《装修装饰工程合同》</w:t>
      </w:r>
    </w:p>
    <w:p w14:paraId="50404293">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企业委托装修公司进行营业场所装修装饰签订合同时的核心法律风险防范与规避指南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委托装修公司对营业场所（如商铺、办公室、展厅、餐厅等）进行装修装饰，属于“公共建筑装饰装修”（俗称“工装”）。此类合同法律关系复杂，涉及设计、施工、材料采购、质量安全等多个环节，且一旦发生纠纷，可能导致企业营业中断、财产损失甚至安全事故。一份严谨、详尽的装修合同是保障项目顺利实施、控制成本、确保质量的根本。以下结合《中华人民共和国民法典》（以下简称《民法典》）、《中华人民共和国建筑法》（以下简称《建筑法》）及相关最新法规，系统梳理从签约到保修全流程的核心法律风险、具体规避措施，并完整列举所依据的政策文号与条款内容，同时明确相关资质及权利负担的官方查询途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 签约前的尽职调查与承包人资格审查风险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此阶段旨在确保承包人具备合法履约能力，是合同有效性和工程安全的基础。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风险：承包人主体不适格——资质不符、挂靠、非法转包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资质不符：根据《建筑法》规定，从事建筑活动的建筑施工企业应取得相应等级的资质证书。承接营业场所装修（通常涉及主体结构变动、消防工程等）的装修公司，必须具备相应的建筑装修装饰工程专业承包资质。无资质或超越资质等级签订的合同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挂靠经营：实际施工的个人或团队借用有资质公司的名义承揽工程。一旦发生质量安全事故，被挂靠单位与实际施工人责任推诿，发包人（企业）权益难以保障，甚至可能因“选任不当”承担连带责任。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非法转包、违法分包：承包人将其承包的全部工程转给他人，或将工程主体结构、关键性工作分包给无相应资质的单位。这会导致管理失控、质量隐患。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九十一条第二款、第三款【禁止转包与违法分包】：“承包人不得将其承包的全部建设工程转包给第三人或者将其承包的全部建设工程支解以后以分包的名义分别转包给第三人。禁止承包人将工程分包给不具备相应资质条件的单位。禁止分包单位将其承包的工程再分包。建设工程主体结构的施工必须由承包人自行完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审理建设工程施工合同纠纷案件适用法律问题的解释（一）》第一条【合同无效情形】：“建设工程施工合同具有下列情形之一的，应当依据民法典第一百五十三条第一款的规定，认定无效：（一）承包人未取得建筑业企业资质或者超越资质等级的；（二）没有资质的实际施工人借用有资质的建筑施工企业名义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【核心】承包人资质官方查询——全国建筑市场监管公共服务平台（四库一平台）：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查询机构：中华人民共和国住房和城乡建设部。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系统网址：https://jzsc.mohurd.gov.cn。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查询内容：登录平台，输入装修公司全称，重点核查：1. 资质类别与等级（如：建筑装修装饰工程专业承包二级）；2. 资质证书有效期；3. 是否存在不良行为记录或黑名单信息；4. 备案的项目经理、技术负责人等关键人员信息。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合同条款约束：在合同中明确约定，承包人保证其资质真实有效且与工程规模匹配，承诺不进行挂靠、转包或违法分包。项目主要管理人员必须与投标文件及平台备案人员一致，未经发包人书面同意不得更换。约定此类行为构成根本违约，发包人有权单方解除合同、没收履约保证金并要求高额赔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核查人员社保：要求承包人提供项目关键管理人员在本单位缴纳社保的证明，以佐证其劳动关系，防范挂靠。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风险：设计成果归属、知识产权及合规性风险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风险内容：装修设计方案（包括效果图、施工图）的著作权归属约定不明；设计方案违反规划、消防、环保等强制性规定，导致无法通过行政报批或验收。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八百七十三条【委托开发技术成果归属】：“委托开发或者合作开发完成的技术秘密成果的使用权、转让权以及利益的分配办法，由当事人约定。没有约定或者约定不明确，依据本法第五百一十条的规定仍不能确定的，在没有相同技术方案被授予专利权前，当事人均有使用和转让的权利。但是，委托开发的研究开发人不得在向委托人交付研究开发成果之前，将研究开发成果转让给第三人。” （该原则可类推适用于委托设计）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知识产权归属：在合同设计条款中明确约定，“本合同项下产生的所有设计成果（包括但不限于设计方案、施工图、效果图）的著作权、所有权归发包人（企业）所有”，承包人仅享有署名权。禁止承包人将相同或相似设计用于其他项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承包人保证合规：约定承包人对其提供的设计方案负责，保证其符合国家及地方现行的规划、建设、消防、环保、节能、卫生等一切法律、法规、规范及标准的要求，并承诺负责办理或协助办理相关的报批、报建、验收手续，承担因设计不合规导致的一切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 合同核心条款约定不明与缺失的风险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合同条款的模糊是装修纠纷最主要的源头，必须将一切可能争议的事项书面化、具体化。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风险：工程范围、内容及材料标准约定不清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风险内容：仅约定“按图施工”，但图纸不完整、存在矛盾；材料清单仅写品牌，未明确具体型号、规格、技术参数、环保等级；未约定施工工艺标准。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九十五条【施工合同内容】：“施工合同的内容一般包括工程范围、建设工期、中间交工工程的开工和竣工时间、工程质量、工程造价、技术资料交付时间、材料和设备供应责任、拨款和结算、竣工验收、质量保修范围和质量保证期、相互协作等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住宅室内装饰装修管理办法（2011修正）》第二十四条【合同主要内容】：“…住宅室内装饰装修合同应当包括下列主要内容：…（二）住宅室内装饰装修的房屋间数、建筑面积，装饰装修的项目、方式、规格、质量要求以及质量验收方式；…（五）装饰装修工程价格，计价和支付方式、时间；…” （该办法虽针对住宅，但其列明的合同要素对工装具有重要参考价值）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固化技术文件：将全套经双方签字确认的施工图纸、详细的设计说明、工程量清单、主要材料设备清单作为合同的核心附件。材料清单应明确品牌、系列、型号、规格、颜色、数量、单价、生产厂家、环保标准（如甲醛释放量E0级）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封存样品：对关键材料（如瓷砖、地板、涂料、布料），约定双方共同封存实物样品，作为验收依据。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明确工艺标准：可约定参照《建筑装饰装修工程质量验收标准》（GB50210）等国家或行业标准执行，并对特殊工艺（如防水、防潮、隔音）提出明确要求。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风险：合同价款、支付方式与变更增项管理漏洞</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风险内容：采用固定总价但范围不清，施工中大量“增项”导致预算失控；付款节点未与工程进度、质量验收挂钩；变更增项无书面确认程序，口头约定引发纠纷。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《中华人民共和国民法典》第五百四十三条【协议变更合同】：“当事人协商一致，可以变更合同。”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适用〈中华人民共和国民法典〉合同编通则若干问题的解释》第五十一条【情势变更】：“合同成立后，因不可归责于当事人的事由，发生…继续履行合同对于当事人一方明显不公平的，受不利影响的当事人可以请求与对方重新协商；在合理期限内协商不成的，当事人可以请求人民法院或者仲裁机构变更或者解除合同。…” （强调变更需协商一致）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选择合适计价方式：对于设计深度足够的项目，可采用固定总价合同，并约定总价包干范围，明确“除发包人书面确认的设计变更外，总价不予调整”。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置附条件支付节点：将工程款支付与已完成合格工程量的确认紧密绑定。例如：预付款（合同签订后）20%；水电隐蔽工程验收合格后支付25%；泥木工程验收合格后支付25%；竣工验收合格后支付25%；剩余5%作为质量保证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严格变更管理程序：约定“任何工程变更（包括增减项）必须由发包人书面提出或确认，承包人需提供变更部分的报价，经发包人书面审核同意后方可施工。未经书面确认的变更，发包人有权不予认可及支付费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风险：工期、延误责任与索赔程序约定模糊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风险内容：开工、竣工日期定义不清；未区分工期延误的责任方（发包人原因、承包人原因、不可抗力）；未约定索赔的时效和程序，导致索赔权利丧失。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八百零三条【发包人原因导致工期延误】：“发包人未按照约定的时间和要求提供原材料、设备、场地、资金、技术资料的，承包人可以顺延工程日期，并有权请求赔偿停工、窝工等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明确定义关键日期：约定“开工日期”以发包人或监理发出的开工通知为准；“竣工日期”以工程竣工验收合格报告签署日期为准。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明确的工期顺延与索赔程序：约定“若发生需顺延工期的事件，承包人应在事件发生后7天内向发包人提出书面报告，并提供相应证据。发包人收到报告后14天内予以核实。逾期未提出或未提供证据的，视为该事件不影响工期或承包人放弃索赔权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风险：工程质量、验收标准与保修责任不健全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风险内容：隐蔽工程（水电管线、防水层）未经验收即覆盖；竣工验收流于形式，未书面记录质量问题；保修期起算点、保修范围、响应时间约定不明。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八百零一条【施工人质量责任】：“因施工人的原因致使建设工程质量不符合约定的，发包人有权请求施工人在合理期限内无偿修理或者返工、改建。经过修理或者返工、改建后，造成逾期交付的，施工人应当承担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建设工程质量管理条例》第四十条【最低保修期限】：“在正常使用条件下，建设工程的最低保修期限为：…（二）屋面防水工程、有防水要求的卫生间、房间和外墙面的防渗漏，为5年；…（四）电气管线、给排水管道、设备安装和装修工程，为2年。其他项目的保修期限由发包方与承包方约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严格验收程序：约定隐蔽工程必须经发包人（或委托的监理）现场验收签字后方可进行下一道工序。竣工验收应制定详细的验收表格，逐项检查并记录。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细化保修义务：约定保修期自工程竣工验收合格之日起算。明确保修范围（工艺和材料缺陷），约定承包人接到报修通知后24小时内响应，48小时内到场处理。可约定预留合同总价5% 的质量保证金，保修期满（如2年）无息支付。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风险：安全责任、现场管理与成品保护缺失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风险内容：施工期间发生安全事故责任划分不清；施工方未做好现场管理，影响企业其他区域正常运营或造成财产损失；已完工部分在后续施工中被损坏。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《中华人民共和国民法典》第七百七十九条【定作人监督权】：“承揽人在工作期间，应当接受定作人必要的监督检验。定作人不得因监督检验妨碍承揽人的正常工作。” （发包人有权监督，但不得过度干预）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安全责任：约定“承包人对其施工人员及施工现场的安全负全部责任，必须遵守安全生产法规，采取安全防护措施，并为现场人员购买足额工伤保险。因承包人原因造成的人身伤亡或财产损失，由承包人承担全部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约定现场管理要求：对施工时间、材料堆放、垃圾清运、水电使用、噪音控制等做出具体规定。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强调成品保护：约定“承包人对已完工的工程部分及现场发包人的财产负有保管和保护责任，如有损坏或丢失，负责修复或赔偿。”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风险：违约责任不对等或存在“霸王条款”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风险内容：合同仅规定发包人逾期付款的违约责任，对承包人工期延误、质量不合格的违约责任约定过轻或缺失；存在排除发包人主要权利（如监督权）、免除承包人主要责任（如质量责任）的不公平格式条款。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四百九十七条【格式条款无效情形】：“有下列情形之一的，该格式条款无效：（一）具有本法第一编第六章第三节和本法第五百零六条规定的无效情形；（二）提供格式条款一方不合理地免除或者减轻其责任、加重对方责任、限制对方主要权利；（三）提供格式条款一方排除对方主要权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八十五条【违约金】：“约定的违约金低于造成的损失的，人民法院或者仲裁机构可以根据当事人的请求予以增加；约定的违约金过分高于造成的损失的，人民法院或者仲裁机构可以根据当事人的请求予以适当减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对等且具威慑力的违约责任：针对承包人主要义务分别设定违约金。例如：工期延误，按日计算违约金（如合同总价的万分之五）；使用不合格材料，除更换外，处以该材料价款数倍的罚款；工程质量不合格，除无偿返修外，承担相应赔偿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警惕并修改不公平条款：仔细审阅合同，对限制发包人进入现场监督、规定“定制产品一概不退不换”、单方面免除承包人安全责任等条款，必须要求修改或删除。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 核心政策法规依据汇总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法律：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《中华人民共和国民法典》：根本大法。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第七百八十八条：建设工程合同定义。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第七百九十一条：禁止转包与违法分包。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第七百九十五条：施工合同主要内容。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第七百九十八条：隐蔽工程检查。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第八百零一条：施工人质量责任。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第八百零三条：发包人原因导致工期延误。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第四百九十七条：格式条款无效情形。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《中华人民共和国建筑法》：对建筑许可、从业资格、发包承包、工程监理、安全生产管理等作出专门规定。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行政法规：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《建设工程质量管理条例》（国务院令第279号）：详细规定了各方质量责任和保修制度。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部门规章：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《住宅室内装饰装修管理办法（2011修正）》（建设部令第110号）：虽主要针对住宅，但其关于合同内容、禁止行为、竣工验收、保修的规定对工装有重要参考价值。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司法解释：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《最高人民法院关于审理建设工程施工合同纠纷案件适用法律问题的解释（一）》（法释〔2020〕25号）：对合同效力、工期、质量、结算等司法实践问题作出具体规定。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《最高人民法院关于适用〈中华人民共和国民法典〉合同编通则若干问题的解释》（法释〔2023〕13号）：对合同解释、变更、违约责任等一般规则进行细化。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 相关查询机构与网址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承包人资质查询：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机构：住房和城乡建设部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系统：全国建筑市场监管公共服务平台（四库一平台）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网址：https://jzsc.mohurd.gov.cn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动产权利负担查询（如承包人提供的施工设备可能涉及抵押）：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机构：中国人民银行征信中心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系统：动产融资统一登记公示系统（中登网）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依据：《动产和权利担保统一登记办法》（中国人民银行令〔2021〕第7号）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最终建议：营业场所装修是企业的重要投资和形象工程。强烈建议在合同签订前，通过“四库一平台”完成对装修公司资质的官方核查。合同文本应避免使用对方提供的简单格式合同，尽可能采用建设主管部门或工商部门发布的建设工程施工合同示范文本为基础进行细化谈判。对于中大型或复杂的装修项目，应聘请专业律师或工程顾问全程参与合同审查与履约监督。在履行过程中，所有指令、变更、验收、付款都必须保留书面凭证（如签字盖章的确认单、会议纪要、往来函件），形成完整的证据链，以有效防范和应对法律风险。</w:t>
      </w:r>
    </w:p>
    <w:p w14:paraId="2F954E70">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9. 采购 / 长期资产 / 长期资产</w:t>
      </w:r>
    </w:p>
    <w:p w14:paraId="42151F98">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《无形资产转让合同》</w:t>
      </w:r>
    </w:p>
    <w:p w14:paraId="6F5C3786">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企业购入商标、专利技术等无形资产签订合同时的核心法律风险防范与规避指南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通过购买方式获取商标、专利等无形资产，是快速取得核心知识产权、提升市场竞争力的重要战略。然而，此类交易技术性强、权利状态复杂、价值评估困难，且权利转移必须经过法定登记程序方能生效。一份严谨、详尽的转让合同是保障企业支付对价后，能够顺利、完整、无争议地取得并行使相关权利的根本法律文件。以下结合《中华人民共和国民法典》（以下简称《民法典》）、《中华人民共和国商标法》（以下简称《商标法》）、《中华人民共和国专利法》（以下简称《专利法》）及相关最新法规，系统梳理从尽职调查到权利交割全流程的核心法律风险、具体规避措施，并完整列举所依据的政策文号与条款内容，同时明确权利状态与负担的官方查询途径与网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 签约前的尽职调查与转让人权利审查风险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此阶段是交易的基石，旨在确保转让标的合法、有效、无瑕疵，且转让人有权处分。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风险：转让人主体不适格或标的权利存在根本瑕疵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主体不适格：签约方非商标注册证或专利证书上记载的合法权利人；对于共有知识产权，未经全体共有人同意；权利人已更名但未办理著录项目变更。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权利根本无效或可撤销：商标属于恶意抢注、侵犯他人在先权利或缺乏显著性，可能被宣告无效；专利属于现有技术、不具备新颖性或创造性，可能被宣告无效。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权利状态不稳定：商标正处于异议、撤销或无效宣告程序中；专利正处于无效宣告请求审查程序中。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《中华人民共和国商标法》第四十二条第一款【转让申请】：“转让注册商标的，转让人和受让人应当签订转让协议，并共同向商标局提出申请。”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专利法》第十条第三款【转让登记生效】：“转让专利申请权或者专利权的，当事人应当订立书面合同，并向国务院专利行政部门登记，由国务院专利行政部门予以公告。专利申请权或者专利权的转让自登记之日起生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三百零一条【共有财产处分】：“处分共有的不动产或者动产以及对共有的不动产或者动产作重大修缮、变更性质或者用途的，应当经占份额三分之二以上的按份共有人或者全体共同共有人同意，但是共有人之间另有约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核查官方权属证书：要求转让人提供商标注册证、专利证书原件及最近一年的年费缴纳凭证。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核查主体一致性：比对转让人营业执照（或身份证）与权属证书上的权利人名称是否完全一致。如不一致，必须要求其先办理权利人名称变更手续。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获取共有人同意文件：如为共有知识产权，必须取得全体共有人同意转让并放弃优先购买权的书面声明，最好经过公证。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【核心】官方法律状态查询：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商标状态查询：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查询机构：国家知识产权局商标局。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系统网址：中国商标网（http://sbj.cnipa.gov.cn）。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查询路径：进入网站后，使用“商标网上查询”功能，输入商标注册号，重点核查：1. 商标状态（是否已注册、有效）；2. 流程状态（是否存在异议、撤销、无效宣告等程序）；3. 权利人信息；4. 专用权期限（是否已续展）。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专利法律状态查询：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查询机构：国家知识产权局。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系统网址：中国专利公布公告网（http://epub.cnipa.gov.cn） 或 专利业务办理系统（https://cponline.cnipa.gov.cn）。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查询路径：输入专利号，查询其法律状态，包括：专利权维持、终止、无效宣告、质押、保全等。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风险：标的权利存在第三方权利负担或限制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已设质押：商标或专利已为第三方债务设立质押担保，未经质权人同意不得转让，否则转让可能无效或面临质权人追索。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存在独占或排他许可：商标或专利已许可第三方独占或排他使用，且许可合同尚未到期。受让后，企业可能无法使用或受到被许可人的权利对抗。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被法院查封、冻结：因转让人涉诉，标的权利被司法机关采取财产保全措施，禁止转让。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四百四十四条【知识产权质权设立】：“以注册商标专用权、专利权、著作权等知识产权中的财产权出质的，质权自办理出质登记时设立。知识产权中的财产权出质后，出质人不得转让或者许可他人使用，但是经出质人与质权人协商同意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《中华人民共和国商标法》第四十三条第三款【许可对转让的效力】：“许可他人使用其注册商标的，许可人应当将其商标使用许可报商标局备案，由商标局公告。商标使用许可未经备案不得对抗善意第三人。”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【核心】权利负担专项查询：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商标权质押登记查询：通过 中国商标网（http://sbj.cnipa.gov.cn）的“商标公告查询”或“商标状态查询”功能，可查询商标是否已被质押。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专利权质押登记查询：通过 中国专利公布公告网（http://epub.cnipa.gov.cn），在“事务查询”中选择“专利权质押登记”进行查询。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动产统一登记查询（补充）：对于某些与设备相关的技术秘密转让，可辅助查询 动产融资统一登记公示系统（中登网）（https://www.zhongdengwang.org.cn），但需注意，知识产权质押本身不在此系统登记。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要求全面披露与保证：在合同中设置“陈述与保证”条款，要求转让人声明并保证：1. 标的权利上未设立任何质押、抵押等担保物权；2. 不存在任何未披露的许可合同（尤其是独占、排他许可）；3. 未被任何司法机关查封、冻结。并约定如违反保证，转让人承担根本违约责任，赔偿受让人一切损失。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风险：转让范围不完整（“一并转让”原则）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风险内容：根据法律规定，转让在同一种或类似商品/服务上的相同或近似商标，应当一并转让；转让关联专利或从属专利时未一并处理，导致受让权利不完整或后续转让申请被行政驳回。</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《中华人民共和国商标法》第四十二条第二款【一并转让】：“转让注册商标的，商标注册人对其在同一种商品上注册的近似的商标，或者在类似商品上注册的相同或者近似的商标，应当一并转让。”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全面检索转让人名下关联权利：在签约前，利用官方查询系统，全面检索转让人名下所有商标和专利，识别出与目标商标构成近似的商标，以及与目标专利密切相关的其他专利。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合同明确约定：在合同中以清单附件形式，列明所有需要一并转让的商标注册号或专利号，并约定转让人有义务无偿、无条件配合办理这些关联权利的转让手续。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 合同核心条款约定不明与缺失的风险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合同条款是双方权利义务的精确地图，任何模糊地带都可能成为纠纷的源头。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风险：标的描述、技术资料交付条款模糊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风险内容：合同仅写商标名称或专利名称，未列明注册号、类别、图样、专利号等唯一标识；未约定转让人应交付的全部技术资料清单（如源代码、设计图纸、实验数据、技术诀窍等）。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九十六条【买卖合同条款】：“买卖合同的内容一般包括标的物的名称、数量、质量、价款、履行期限、履行地点和方式、包装方式、检验标准和方法、结算方式、合同使用的文字及其效力等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制作详细附件：将商标注册证复印件（含所有页面）、专利证书复印件、专利说明书、权利要求书、附图等作为合同附件一。将技术资料交付清单作为附件二，逐项列明资料名称、形式（纸质/电子）、份数、交付时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约定交付验收程序：约定技术资料交付后，受让人有合理期限进行验收，确认资料是否完整、可用。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风险：转让费用、支付方式与交割条件设计不合理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风险内容：采用一次性付清全款，使受让人在权利未稳妥转移前承担全部资金风险；支付节点未与关键履约义务（如提交转让申请、完成官方登记公告）挂钩。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设计里程碑付款：强烈建议将总价款拆分为：1. 定金（合同生效后支付，比例不宜过高）；2. 首付款（双方共同向主管部门递交合格的转让申请文件后支付）；3. 尾款（在国家知识产权局完成转让登记并公告后支付）。例如：20%（定金）+ 40%（递件后）+ 40%（公告后）。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明确交割条件：将“国家知识产权局出具《核准转让证明》或《手续合格通知书》并在官方公告上予以公告”作为核心交割条件及尾款支付前提。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风险：知识产权归属、后续改进与权利维护约定不清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风险内容：未约定转让前与标的相关的技术秘密、商业秘密的归属；未约定合同签订后，双方对标的技术进行改进所产生的知识产权的归属；未明确权利维持（如缴纳专利年费）的责任主体。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《中华人民共和国民法典》第八百六十三条【技术转让合同范围】：“技术转让合同包括专利权转让、专利申请权转让、技术秘密转让等合同。技术许可合同包括专利实施许可、技术秘密使用许可等合同。”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八百七十三条【后续改进技术成果归属】：“当事人可以按照互利的原则，在合同中约定实施专利、使用技术秘密后续改进的技术成果的分享办法。没有约定或者约定不明确，依据本法第五百一十条的规定仍不能确定，一方后续改进的技术成果，其他各方无权分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明确关联权利归属：约定“与转让商标/专利相关的所有域名、商誉、宣传材料，以及为实现该专利所必需的技术秘密、实验数据等，均随主权利一并转让”。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约定后续改进权利：明确约定“合同生效后，双方独立完成的后续改进技术成果，其知识产权归改进方所有。任何一方无权要求分享另一方独立完成的后续改进成果”。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划分维持责任：约定“自转让合同生效之日起至官方登记公告之日止的过渡期内，商标续展、专利年费等权利维持费用及义务仍由转让人承担。登记公告后，由受让人承担”。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风险：违约责任与合同解除条款缺失或不对等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风险内容：仅规定受让人逾期付款的违约责任，对转让人权利瑕疵、不配合办理登记等根本违约行为未设定明确、有力的违约责任；未约定合同解除的具体情形和程序。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六十三条【合同法定解除】：“有下列情形之一的，当事人可以解除合同：…（三）当事人一方迟延履行主要债务，经催告后在合理期限内仍未履行；（四）当事人一方迟延履行债务或者有其他违约行为致使不能实现合同目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八十五条【违约金】：“约定的违约金低于造成的损失的，人民法院或者仲裁机构可以根据当事人的请求予以增加；约定的违约金过分高于造成的损失的，人民法院或者仲裁机构可以根据当事人的请求予以适当减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针对根本违约设定高额违约金：明确约定，若因转让人原因（权利瑕疵、不配合）导致转让最终无法被核准，转让人除返还已收全部款项外，还应向受让人支付合同总价款一定比例（如30%-50%）的违约金，并赔偿受让人因此遭受的全部损失（包括调查费、律师费、机会成本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细化解除权条款：约定受让人在转让人出现特定违约情形时，享有单方解除权，并明确解除通知的送达方式及合同解除后的清算义务。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 核心政策法规依据汇总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法律：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《中华人民共和国民法典》：根本大法，特别是合同编与技术合同章节。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第三百零一条：共有财产处分规则。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第四百四十四条：知识产权质权设立与转让限制。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第五百六十三条：合同法定解除情形。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第五百九十六条：买卖合同内容提示。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第八百六十三条：技术转让合同定义。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第八百七十三条：后续改进技术成果归属。</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《中华人民共和国商标法》（根据2019年4月23日第十三届全国人民代表大会常务委员会第十次会议《关于修改〈中华人民共和国建筑法〉等八部法律的决定》第四次修正）：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第四十二条：商标转让的协议、申请、一并转让及核准公告程序。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第四十三条：商标使用许可及备案效力。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《中华人民共和国专利法》（根据2020年10月17日第十三届全国人民代表大会常务委员会第二十二次会议《关于修改〈中华人民共和国专利法〉的决定》第四次修正）：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第十条：专利申请权和专利权可以转让，转让自登记之日起生效。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行政法规：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《中华人民共和国商标法实施条例》（国务院令第651号）：细化了商标转让、许可等程序性规定。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《中华人民共和国专利法实施细则》（国务院令第769号，2023年修订）：细化了专利转让、质押等登记程序。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部门规章：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《动产和权利担保统一登记办法》（中国人民银行令〔2021〕第7号）：规定了动产和权利担保统一登记规则，但明确排除知识产权财产权质押。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《注册商标专用权质押登记程序规定》（由国家知识产权局发布）。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《专利权质押登记办法》（由国家知识产权局发布）。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 官方查询机构、系统与网址汇总（非图表形式）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商标信息综合查询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负责机构：国家知识产权局商标局。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官方系统/平台名称：中国商标网。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网址：http://sbj.cnipa.gov.cn。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主要功能与查询内容：提供商标注册信息、法律状态（如有效、无效、异议中）、审查流程、官方公告查询，并可查询商标权质押登记信息。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专利信息综合查询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负责机构：国家知识产权局。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官方系统/平台名称：中国专利公布公告网。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网址：http://epub.cnipa.gov.cn。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主要功能与查询内容：提供专利公布公告文本、法律状态（如维持、终止、无效宣告、质押、保全等）以及各类事务数据查询。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专利业务办理与查询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负责机构：国家知识产权局。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官方系统/平台名称：专利业务办理系统。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网址：https://cponline.cnipa.gov.cn。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主要功能与查询内容：用于办理专利申请、转让、质押登记等各项业务，同时可查询专利审查信息、通知书等。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动产权利担保统一查询（辅助查询，不含知识产权质押）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负责机构：中国人民银行征信中心。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官方系统/平台名称：动产融资统一登记公示系统（俗称“中登网”）。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功能与查询内容：查询企业名下生产设备、原材料、应收账款等动产的抵押、融资租赁、所有权保留等担保登记信息。请注意，根据规定，商标权、专利权等知识产权质押登记不在此系统办理，需通过前述商标、专利官方系统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全国知识产权公共服务机构查询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负责机构：国家知识产权局。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官方平台入口：可通过“国家政务服务平台”网站或手机应用，进入“知识产权服务专区”。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主要功能：查找全国各地知识产权保护中心、快速维权中心、维权援助中心、代办处等线下服务机构的地址与联系方式，便于获取线下咨询与帮助。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最终建议：购入商标、专利等无形资产是企业的高风险、高价值交易。强烈建议在签约前，委托专业的知识产权律师或代理机构进行全面的尽职调查，务必利用上述官方渠道核实权利状态与负担。合同应避免使用简单模板，建议以国家知识产权局监制的合同示范文本为基础，结合交易特点进行深度定制。付款方式必须与法定的权利转移节点（即官方登记公告）紧密挂钩，以最大限度降低资金风险。所有承诺均应写入合同，并保留好合同履行过程中产生的所有书面凭证，为可能发生的争议解决做好准备。</w:t>
      </w:r>
    </w:p>
    <w:p w14:paraId="5D69B08E">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10. 采购 / 经营物料 / 经营物料</w:t>
      </w:r>
    </w:p>
    <w:p w14:paraId="3B9AA6C3">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《买卖合同》</w:t>
      </w:r>
    </w:p>
    <w:p w14:paraId="65F72EEE">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企业购入生产物料或销售商品签订合同时的核心法律风险防范与规避指南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购入用于生产的原材料、零部件或用于转售的商品，是最基础、最频繁的经营活动。此类货物买卖合同看似简单，但若条款约定不明、风险防范不足，极易引发质量纠纷、交付延迟、货款两空等重大经营风险。一份严谨、权责清晰的采购合同是保障企业供应链稳定、控制成本、确保生产销售活动顺利进行的关键。以下结合《中华人民共和国民法典》（以下简称《民法典》）、《中华人民共和国产品质量法》及相关法规，系统梳理从供应商选择到货款支付全流程的核心法律风险、具体规避措施，并完整列举所依据的政策文号与条款内容，同时明确动产权利负担的官方查询途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 签约前的尽职调查与供应商资格审查风险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此阶段旨在筛选合格供应商，确保其具备履约能力，且所供货物权属清晰、无法律瑕疵。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风险：供应商主体不适格或信用不佳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风险内容：签约方无合法经营资质（如营业执照被吊销、超出经营范围）；供应商是空壳公司或存在严重失信记录，可能导致合同无法履行或货款被骗。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《中华人民共和国民法典》第五百零二条【合同生效】：“依法成立的合同，自成立时生效，但是法律另有规定或者当事人另有约定的除外。”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公司法》第七条【营业执照】：“依法设立的公司，由公司登记机关发给公司营业执照。公司营业执照签发日期为公司成立日期。公司营业执照应当载明公司的名称、住所、注册资本、经营范围、法定代表人姓名等事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审查基础证照：要求供应商提供最新的营业执照复印件，并核对其经营范围是否包含所售货物。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核查信用状况：通过“国家企业信用信息公示系统”（http://www.gsxt.gov.cn）查询供应商的工商登记信息、行政处罚、经营异常及严重违法失信名单情况。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风险：标的物存在权利瑕疵或已被设立担保物权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风险内容：供应商对所售货物不享有完整的所有权（如货物为他人所有、处于共有状态）；货物已为第三方债务设立动产抵押权，抵押权人可能随时主张权利、扣押货物，导致企业钱货两空。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《中华人民共和国民法典》第六百一十二条【出卖人权利瑕疵担保义务】：“出卖人就交付的标的物，负有保证第三人对该标的物不享有任何权利的义务，但是法律另有规定的除外。”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《中华人民共和国民法典》第四百零四条【动产抵押的追及效力】：“以动产抵押的，不得对抗正常经营活动中已经支付合理价款并取得抵押财产的买受人。” （此条款保护“正常经营买受人”，但企业必须证明自己符合“已支付合理价款”和“取得财产”的条件，且交易属于供应商的“正常经营活动”。风险依然存在，需主动排查。）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要求所有权保证：在合同中要求供应商陈述并保证其对所售货物享有合法、完整、无争议的所有权。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【核心】动产抵押登记查询——动产融资统一登记公示系统（中登网）：根据《国务院关于实施动产和权利担保统一登记的决定》（国发〔2020〕18号），原材料、产品、设备等动产抵押登记统一办理。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依据与操作：依据《动产和权利担保统一登记办法》（中国人民银行令〔2021〕第7号），任何组织或个人均可注册查询。以供应商（抵押人）的准确名称进行查询，可查明其名下是否有针对相关货物的抵押登记。强烈建议对大额或长期采购进行此项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风险：标的物质量与合规性标准不明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货物仅约定名称，未明确具体技术规格、型号、材质、等级、产地、执行标准等；货物可能不符合国家强制性标准（如安全、环保、卫生标准），导致企业无法使用、被行政处罚或对下游客户承担赔偿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《中华人民共和国民法典》第六百一十五条【标的物质量要求】：“出卖人应当按照约定的质量要求交付标的物。出卖人提供有关标的物质量说明的，交付的标的物应当符合该说明的质量要求。”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产品质量法》第二十六条【生产者质量责任】：“生产者应当对其生产的产品质量负责。产品质量应当符合下列要求：（一）不存在危及人身、财产安全的不合理的危险，有保障人体健康和人身、财产安全的国家标准、行业标准的，应当符合该标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制作详细技术附件：将货物的技术规格书、质量标准（国标、行标、企标号）、样品照片或封样样品作为合同附件。约定货物必须符合附件要求。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明确合规性保证：要求供应商保证货物符合所有适用的法律、法规及强制性标准，并承诺承担因不合规导致的一切法律责任和损失。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 合同核心条款约定不明与缺失的风险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合同条款的模糊是绝大多数采购纠纷的根源，必须将商业意图转化为明确的法律语言。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风险：标的物描述、数量与包装约定不清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风险内容：货物名称使用俗称或统称；数量单位模糊（如“一批”、“一套”）；未约定包装方式、包装标准，导致运输中货物损坏责任不清。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九十六条【买卖合同内容】：“买卖合同的内容一般包括标的物的名称、数量、质量、价款、履行期限、履行地点和方式、包装方式、检验标准和方法、结算方式、合同使用的文字及其效力等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精确描述：使用货物的官方品名、型号、规格编码。数量使用国际标准计量单位，并允许合理的溢短装条款（如±5%）。</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约定包装：明确包装材料、方式、标识，并约定包装应足以保护货物安全运抵目的地，因包装不善造成的损失由供应商承担。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风险：交付、验收与质量异议条款缺失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风险内容：交货时间、地点（如“工厂交货FOB”或“货到买方仓库DDP”）约定不明；未约定验收期限和程序，收货后长时间未提异议可能被视为认可；未约定质量异议期，发现隐蔽瑕疵后无法索赔。</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《中华人民共和国民法典》第六百零二条【交付期限】：“当事人没有约定标的物的交付期限或者约定不明确的，适用本法第五百一十条、第五百一十一条第四项的规定。”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二十一条【买受人检验义务】：“当事人约定检验期限的，买受人应当在检验期限内将标的物的数量或者质量不符合约定的情形通知出卖人…没有约定检验期限的，买受人应当在发现或者应当发现标的物数量或者质量不符合约定的合理期限内通知出卖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明确交付细节：约定具体的交货日期或时间段、交货地点（精确到仓库门牌号）、运输方式及费用承担。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设定验收与异议期：约定货物到达后7-15个工作日为数量与外观瑕疵检验期。约定质量异议期（如自收货之日起6个月或12个月，或与产品保质期挂钩），对于无法立即发现的隐蔽瑕疵，在此期限内提出均有效。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书面化流程：所有验收、异议均需通过书面形式（如验收单、异议函） 提出，并保留证据。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风险：价款、支付方式与发票条款不合理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风险内容：单价是否含税、含运费约定不明；采用“货到付款”但未与验收合格挂钩，企业可能为不合格品付款；采用“预付全款”则企业资金风险极高；发票开具类型（普票/专票）、时间未约定。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《中华人民共和国民法典》第六百二十六条【价款支付】：“买受人应当按照约定的数额和支付方式支付价款…”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价费分离：明确约定：货物单价（注明是否含税）、税率、总价、运费、保险费等各项费用。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设计附条件付款：将付款与供应商的关键履约义务绑定。例如：“30%预付款（合同签订后）+ 60%进度款（货到经初步验收合格后）+ 10%质保金（质量异议期满后支付）”。避免支付100%预付款。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明确发票义务：约定供应商在收到相应款项后N个工作日内必须开具正确、合法的增值税专用发票，否则企业有权顺延支付后续款项。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风险：所有权、风险转移与货物毁损灭失责任不清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风险内容：货物在运输途中损坏或灭失，责任由谁承担？所有权何时转移给企业？这直接关系到保险索赔和损失承担主体。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《中华人民共和国民法典》第六百零四条【风险转移】：“标的物毁损、灭失的风险，在标的物交付之前由出卖人承担，交付之后由买受人承担，但是法律另有规定或者当事人另有约定的除外。”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明确风险转移时点：根据采用的贸易术语（如EXW, FOB, CIF, DDP） 明确风险划分点。例如，约定“DDP目的地交货”，则货物运抵企业指定地点前的一切风险由供应商承担。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约定保险：对于高价值或长途运输货物，可约定由供应商购买运输保险，并将企业列为共同被保险人。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风险：知识产权侵权与保密信息泄露风险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风险内容：供应商提供的货物侵犯他人商标、专利或著作权，导致企业使用或销售时被第三方起诉索赔；在交易过程中，企业提供的技术参数、设计图纸等商业秘密被供应商泄露或不当使用。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《中华人民共和国民法典》第六百条【知识产权担保】：“出卖具有知识产权的标的物的，除法律另有规定或者当事人另有约定外，该标的物的知识产权不属于买受人。”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要求知识产权保证：约定供应商保证其提供的货物未侵犯任何第三方的知识产权，如发生侵权指控，由供应商负责解决并承担全部法律责任和损失。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签订保密协议：如涉及商业秘密交换，应单独签订或在主合同中设置保密条款，明确保密信息范围、保密期限、违约责任。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风险：违约责任不对等或缺失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风险内容：仅约定企业逾期付款的违约金，未约定供应商逾期交货、货物不合格的违约责任；违约金比例过低，不足以弥补企业损失（如停产损失、对下游客户的违约赔偿）。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《中华人民共和国民法典》第五百七十七条【违约责任】：“当事人一方不履行合同义务或者履行合同义务不符合约定的，应当承担继续履行、采取补救措施或者赔偿损失等违约责任。”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《中华人民共和国民法典》第五百八十五条【违约金】：“约定的违约金低于造成的损失的，人民法院或者仲裁机构可以根据当事人的请求予以增加…”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规避方法：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定对等且具威慑力的违约责任：针对供应商主要义务分别设定。例如：逾期交货，每逾期一日按合同总价的万分之五支付违约金，逾期超过X日，企业有权解除合同并要求赔偿损失；货物质量不合格，企业有权要求退货、换货，并可按该批货物价值的一定比例（如20%）主张违约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明确损失赔偿范围：约定“损失赔偿范围包括但不限于直接经济损失和可预见的间接损失（如停产损失、向第三方支付的违约金、商誉损失等）”。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 核心政策法规依据汇总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法律：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《中华人民共和国民法典》第三编合同编第九章“买卖合同”（第五百九十五条至第六百四十六条）：是处理所有货物买卖纠纷的根本大法。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第五百九十六条：买卖合同内容提示。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第六百一十二条：出卖人权利瑕疵担保义务。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第六百一十五条：标的物质量要求。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第六百零四条：标的物风险转移规则。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第六百二十一条：买受人检验通知义务。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第六百二十六条：价款支付。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第五百七十七条、第五百八十五条：违约责任与违约金。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《中华人民共和国产品质量法》：规定了产品生产者、销售者的质量责任和义务。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行政法规决定：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《国务院关于实施动产和权利担保统一登记的决定》（国发〔2020〕18号）：确立了动产担保统一登记制度，为查询供应商货物抵押情况提供了法律基础。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部门规章：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《动产和权利担保统一登记办法》（中国人民银行令〔2021〕第7号）：具体规定了动产抵押等担保登记的操作规则。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 官方查询机构、系统与网址汇总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供应商主体信用与工商信息查询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负责机构：国家市场监督管理总局。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官方系统/平台名称：国家企业信用信息公示系统。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主要功能：查询企业的工商注册信息、行政许可、行政处罚、经营异常名录、严重违法失信企业名单等。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动产抵押登记查询（核心用于排查货物权利负担）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负责机构：中国人民银行征信中心。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官方系统/平台名称：动产融资统一登记公示系统（俗称“中登网”）。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主要功能：查询企业或个人名下生产设备、原材料、半成品、产品等动产的抵押登记、融资租赁、所有权保留等担保信息。在签订大额采购合同前，查询供应商在此系统的登记情况至关重要。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最终建议：货物采购合同是企业运营的“粮草合同”。强烈建议建立标准化的合同模板和供应商管理制度。对于长期合作或大额采购，务必在签约前利用“国家企业信用信息公示系统”和“中登网”完成对供应商的信用和权利负担核查。合同条款应极度细化，特别是关于质量、验收、付款和违约责任的部分。付款方式务必设计成分期付款，并与验收合格等关键节点挂钩，牢牢掌握履约主动权。所有交付、验收、付款、沟通记录均应书面化并由双方确认，形成完整的证据链，以有效防范和应对法律风险。</w:t>
      </w:r>
    </w:p>
    <w:p w14:paraId="163FB5BE">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11. 采购 / 经营物料 / 经营物料</w:t>
      </w:r>
    </w:p>
    <w:p w14:paraId="3DAD68A0">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《民事诉讼法》</w:t>
      </w:r>
    </w:p>
    <w:p w14:paraId="23F21FCB">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企业经济纠纷民事诉讼实务全流程风险防范与操作指南（附完整法律依据与查询渠道）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当企业经营中发生经济纠纷并决定通过民事诉讼解决时，诉讼本身即成为一项高成本、高风险、专业化的“商业项目”。胜诉不仅取决于实体权利的正当性，更取决于诉讼策略、程序把握与证据组织。以下结合《中华人民共和国民事诉讼法》（以下简称《民诉法》）及其司法解释、《中华人民共和国民法典》（以下简称《民法典》）等核心法律，从企业经营实务出发，系统梳理从纠纷发生到判决执行的全流程核心注意事项、法律风险及规避策略，并完整列举所依据的政策文号与条款内容，同时提供关键信息的官方查询途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 诉前准备与评估阶段：决定“打不打”和“怎么打”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此阶段的目标是评估诉讼可行性、成本与风险，为诉讼奠定坚实基础。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核心风险：诉讼时效经过，导致丧失胜诉权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风险内容：向人民法院请求保护民事权利的诉讼时效期间通常为三年。超过该期间起诉，若对方提出时效抗辩，法院将驳回诉讼请求，实体权利虽在但无法通过司法强制力实现。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一百八十八条【普通诉讼时效】：“向人民法院请求保护民事权利的诉讼时效期间为三年。法律另有规定的，依照其规定。诉讼时效期间自权利人知道或者应当知道权利受到损害以及义务人之日起计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一百九十五条【诉讼时效中断】：“有下列情形之一的，诉讼时效中断，从中断、有关程序终结时起，诉讼时效期间重新计算：（一）权利人向义务人提出履行请求；（二）义务人同意履行义务；（三）权利人提起诉讼或者申请仲裁；（四）与提起诉讼或者申请仲裁具有同等效力的其他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立即核查时效：梳理合同、对账单、催收函、邮件、聊天记录等，确定权利受损之日和最近一次主张权利的时间。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果断中断时效：若时效临近届满，立即采取行动中断时效。最有效的方式是向法院提交起诉状（即使因故暂缓审理，时效也已中断），或通过发送内容明确的律师函、催收函并要求对方签收，或与对方达成新的还款/履行协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全程保留证据：所有主张权利的行为，均需保留书面凭证（如快递底单、邮件截图、对方盖章确认的文件）。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核心风险：被告主体不适格或缺乏偿债能力，导致“胜诉容易执行难”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风险内容：起诉对象错误（如起诉分公司而未列总公司）；被告是空壳公司或严重资不抵债，即使胜诉也无法获得实际赔偿。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事诉讼法》第一百二十二条【起诉条件】：“起诉必须符合下列条件：（一）原告是与本案有直接利害关系的公民、法人和其他组织；（二）有明确的被告；（三）有具体的诉讼请求和事实、理由；（四）属于人民法院受理民事诉讼的范围和受诉人民法院管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准确定被告：通过“国家企业信用信息公示系统”核实对方企业的准确全称、统一社会信用代码、法定代表人、股东信息。对于合同纠纷，严格依据合同签约主体确定被告。考虑是否可依据《公司法》相关规定，将未履行出资义务的股东或滥用公司法人独立地位的关联公司列为共同被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【核心】诉前尽职调查：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资产与信用调查：查询被告的房产、车辆、股权、银行账户（需通过法院保全阶段查询）线索。利用“中国执行信息公开网”查询其是否为失信被执行人、有无大量未结执行案件。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涉诉情况调查：通过“中国裁判文书网”查询被告的历史诉讼，判断其涉诉频率、纠纷类型及履约态度。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官方查询渠道：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国家企业信用信息公示系统（市场监管总局）：http://www.gsxt.gov.cn。查询企业基础信息、行政处罚、股权出质、动产抵押等。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中国执行信息公开网（最高人民法院）：http://zxgk.court.gov.cn。查询失信被执行人、限制消费人员、执行案件信息。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中国裁判文书网（最高人民法院）：https://wenshu.court.gov.cn。查询法院公开的裁判文书。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核心风险：未及时采取财产保全，对方转移资产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风险内容：起诉后，被告有充足时间转移、隐匿财产，导致判决成为一纸空文。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事诉讼法》第一百零三条【保全条件】：“人民法院对于可能因当事人一方的行为或者其他原因，使判决难以执行或者造成当事人其他损害的案件，根据对方当事人的申请，可以裁定对其财产进行保全、责令其作出一定行为或者禁止其作出一定行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同步准备保全申请：在起诉时或起诉前（情况紧急时），立即向法院提交财产保全申请书，并提供明确的财产线索（如银行账户、房产地址、车辆号牌、股权所在公司）及等额担保（可通过保险公司出具保函）。</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诉前保全的运用：对于情况特别紧急的，可在起诉前向有管辖权的法院申请保全，但必须在法院采取保全措施后30日内依法提起诉讼。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 起诉阶段：程序选择与策略制定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此阶段决定诉讼的战场（管辖法院）和基本战术（诉讼请求）。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核心风险：管辖法院选择错误，导致被驳回起诉或增加诉讼成本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风险内容：未依据法律规定或合同约定向有管辖权的法院起诉，对方提出管辖权异议，案件被移送，拖延诉讼进程。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《中华人民共和国民事诉讼法》第二十四条【合同纠纷管辖】：“因合同纠纷提起的诉讼，由被告住所地或者合同履行地人民法院管辖。”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事诉讼法》第三十五条【协议管辖】：“合同或者其他财产权益纠纷的当事人可以书面协议选择被告住所地、合同履行地、合同签订地、原告住所地、标的物所在地等与争议有实际联系的地点的人民法院管辖，但不得违反本法对级别管辖和专属管辖的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审查合同管辖条款：首先审查合同中是否有合法有效的“协议管辖”条款，并评估在该地诉讼的利弊（地方保护、成本等）。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主动选择有利法院：若无协议管辖，则综合分析在“被告住所地”或“合同履行地”起诉的利弊。对于买卖合同，接收货币一方（即原告）所在地可被认定为合同履行地，对企业而言是极大的便利。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最高人民法院关于适用〈中华人民共和国民事诉讼法〉的解释》第十八条：“合同约定履行地点的，以约定的履行地点为合同履行地。合同对履行地点没有约定或者约定不明确，争议标的为给付货币的，接收货币一方所在地为合同履行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核心风险：诉讼请求不当，导致权利未获完全支持或需另案起诉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风险内容：诉讼请求不明确、不完整（如未计算逾期利息、违约金）；或请求金额过高，导致多交诉讼费且未被支持的部分不退费。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诉讼费用交纳办法》（国务院令第481号）第二十九条【诉讼费负担】：“诉讼费用由败诉方负担，胜诉方自愿承担的除外。部分胜诉、部分败诉的，人民法院根据案件的具体情况决定当事人各自负担的诉讼费用数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精确计算诉讼标的额：本金、利息、违约金、实现债权的费用（如律师费、保全费，以合同约定为前提）需分项列明，并提供详细计算依据。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全面提出请求：基于“一事不再理”原则，尽量在同一诉讼中解决全部关联争议。例如，在请求支付货款的同时，可请求确认对留置的货物享有抵押权并优先受偿。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 审理阶段：证据为王与庭审博弈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此阶段是决定胜负的核心，证据的组织与庭审表现至关重要。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核心风险：举证不能或举证超期，承担败诉后果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风险内容：未能提供证据证明己方主张的基本事实；或未在法院指定的举证期限内提交证据，证据可能不被采纳。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《中华人民共和国民事诉讼法》第六十七条【举证责任】：“当事人对自己提出的主张，有责任提供证据。”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适用〈中华人民共和国民事诉讼法〉的解释》第一百零二条【逾期举证】：“当事人因故意或者重大过失逾期提供的证据，人民法院不予采纳。但该证据与案件基本事实有关的，人民法院应当采纳，并依照民事诉讼法第六十八条、第一百一十八条第一款的规定予以训诫、罚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系统化整理证据：制作《证据清单》，按证明目的分组（如主体资格、合同成立、履行情况、违约事实、损失计算），并编写页码。证据原件妥善保管，庭上核对。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重视电子证据：对于微信聊天记录、电子邮件，应保留原始载体（手机、电脑），必要时可进行公证，以增强证明力。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善用证据规则：对于对方掌握但拒不提交的证据，可依据《最高人民法院关于民事诉讼证据的若干规定》第九十五条，向法院申请责令对方提交，若对方无正当理由拒不提交，可推定己方主张成立。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核心风险：庭审陈述与自认不当，导致事实认定不利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风险内容：在庭审中随意承认对方陈述的不利事实（构成“诉讼自认”），或陈述前后矛盾，损害己方信誉。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适用〈中华人民共和国民事诉讼法〉的解释》第九十二条【诉讼自认】：“一方当事人在法庭审理中，或者在起诉状、答辩状、代理词等书面材料中，对于己不利的事实明确表示承认的，另一方当事人无需举证证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庭前充分模拟：与代理律师或法务团队进行庭审模拟，预判对方问题，统一应答口径。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谨慎回答法庭询问：对于不清楚或需核实的问题，可回答“需要核实后向法庭书面陈述”或“由代理人回答”，避免仓促、错误的陈述。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 判决生效后：从“纸面权利”到“真金白银”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胜诉判决并非终点，执行到位才是最终目标。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核心风险：申请执行超期，丧失强制执行权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风险内容：未在法律规定的期间内申请强制执行，法院将不再执行。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事诉讼法》第二百四十六条【申请执行期间】：“申请执行的期间为二年。申请执行时效的中止、中断，适用法律有关诉讼时效中止、中断的规定。前款规定的期间，从法律文书规定履行期间的最后一日起计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及时申请：在判决生效且履行期满后，立即准备《强制执行申请书》，向一审法院或同级的被执行人财产所在地法院申请执行。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核心风险：被执行人无财产可供执行，案件“终结本次执行”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风险内容：法院经查询未发现被执行人可供执行的财产，案件以“终结本次执行程序”结案，债权悬空。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主动提供财产线索：执行阶段，企业应利用自身渠道（如业务往来、公开信息）积极查找并提供被执行人新的财产线索（如到期债权、隐匿的资产、未申报的对外投资），推动法院恢复执行。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申请追加被执行人：如发现符合《最高人民法院关于民事执行中变更、追加当事人若干问题的规定》的情形（如股东抽逃出资、一人公司财产混同），可申请追加其他主体为被执行人。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利用执行威慑措施：申请法院将被执行人纳入失信名单、限制高消费，对其法定代表人采取限制出境等措施，施加压力。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五、 核心法律依据汇总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《中华人民共和国民事诉讼法》（2021年修正，2022年1月1日起施行）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第二十四条、第三十五条：合同纠纷管辖。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第一百零三条：财产保全。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第一百二十二条：起诉条件。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第六十七条：举证责任。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第二百四十六条：申请执行期间。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《最高人民法院关于适用〈中华人民共和国民事诉讼法〉的解释》（2022年修正）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第十八条：合同履行地的认定（接收货币一方）。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第九十二条：诉讼自认。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第一百零二条：逾期举证后果。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《中华人民共和国民法典》</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第一百八十八条：普通诉讼时效期间。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第一百九十五条：诉讼时效中断。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《诉讼费用交纳办法》（国务院令第481号）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第二十九条：诉讼费用负担原则。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六、 必备官方查询渠道汇总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国家企业信用信息公示系统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用途：核实诉讼对手的工商登记信息、股东情况、行政处罚、是否注销等，确定适格被告。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中国执行信息公开网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网址：http://zxgk.court.gov.cn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用途：查询对手是否为“老赖”（失信被执行人）、有无被限制消费、过往执行案件情况，评估其偿债能力和诉讼风险。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中国裁判文书网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网址：https://wenshu.court.gov.cn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用途：研究类似案件的裁判规则、了解主审法官的审判倾向、分析对手的涉诉模式。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人民法院诉讼资产网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网址：https://www.rmfysszc.gov.cn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用途：了解法院司法拍卖信息，为参与被执行人资产拍卖做准备。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各地法院诉讼服务网/在线法院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举例：北京法院审判信息网 (www.bjcourt.gov.cn)、上海法院诉讼服务网 (www.hshfy.sh.cn)等。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用途：查询案件进展、提交电子诉讼材料、联系法官等。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最终建议：民事诉讼是企业维护权益的终极法律武器，但其过程复杂、专业性强。强烈建议在纠纷发生早期即引入专业律师，进行全面的风险评估和策略规划。企业法务或业务人员应与律师紧密配合，负责提供完整的业务事实、合同单据和沟通记录。诉讼的核心在于证据，企业应在日常经营中建立规范的合同管理、档案管理和用印管理制度，为可能发生的诉讼积累有利证据。记住，最好的诉讼策略是“不战而屈人之兵”，在充分诉讼准备的基础上，通过谈判、调解等多元化方式解决纠纷，往往是成本最低、效率最高的选择。</w:t>
      </w:r>
    </w:p>
    <w:p w14:paraId="04677284">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12. 采购 / 经营物料 / 经营物料</w:t>
      </w:r>
    </w:p>
    <w:p w14:paraId="40BC30AC">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《仲裁法》</w:t>
      </w:r>
    </w:p>
    <w:p w14:paraId="2FDDA1C5">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企业经济纠纷仲裁解决实务全流程风险防范与操作指南（附完整法律依据、查询渠道及与诉讼对比）</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当企业经营中发生经济纠纷，选择仲裁而非诉讼作为解决方式，意味着选择了一条相对专业化、保密性更强、通常更高效的争议解决路径。然而，仲裁的“一裁终局”特性既是其优势，也意味着更高的程序严谨性要求。一份有瑕疵的仲裁协议或程序失误，可能导致无法仲裁或裁决被撤销。以下结合《中华人民共和国仲裁法》（以下简称《仲裁法》）、《中华人民共和国民事诉讼法》（以下简称《民诉法》）及相关司法解释，从企业经营实务出发，系统梳理从纠纷发生到裁决执行的全流程核心注意事项、法律风险及规避策略，完整列举所依据的政策文号与条款内容，提供关键信息的官方查询途径，并最后详细对比仲裁与民事诉讼的区别、优点与缺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 仲裁的基石：仲裁协议的有效性与风险防范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仲裁是协议管辖，没有有效仲裁协议，一切无从谈起。这是仲裁与诉讼最根本的区别。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核心风险：仲裁协议无效或约定不明，导致无法启动仲裁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风险内容：合同中仲裁条款缺失、无效（如约定“或裁或审”），或约定不明（如未明确仲裁机构），导致仲裁委员会不予受理，纠纷只能转向法院诉讼，浪费时间和机会成本。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《中华人民共和国仲裁法》第四条【协议仲裁】：“当事人采用仲裁方式解决纠纷，应当双方自愿，达成仲裁协议。没有仲裁协议，一方申请仲裁的，仲裁委员会不予受理。”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仲裁法》第十六条【仲裁协议内容】：“仲裁协议包括合同中订立的仲裁条款和以其他书面方式在纠纷发生前或者纠纷发生后达成的请求仲裁的协议。仲裁协议应当具有下列内容：（一）请求仲裁的意思表示；（二）仲裁事项；（三）选定的仲裁委员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《中华人民共和国仲裁法》第十八条【约定不明的处理】：“仲裁协议对仲裁事项或者仲裁委员会没有约定或者约定不明确的，当事人可以补充协议；达不成补充协议的，仲裁协议无效。”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采用标准、明确的仲裁条款：在签订合同时，务必使用清晰、无歧义的仲裁条款。推荐使用国内主流仲裁机构的推荐条款，例如：“因本合同引起的或与本合同有关的任何争议，均提交[例如：中国国际经济贸易仲裁委员会/北京仲裁委员会/上海国际经济贸易仲裁委员会]，按照申请仲裁时该会现行有效的仲裁规则进行仲裁。仲裁裁决是终局的，对双方均有约束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避免“或裁或审”条款：绝对避免出现“本合同争议可提交某仲裁委员会仲裁，也可向人民法院提起诉讼”的表述。根据《最高人民法院关于适用〈中华人民共和国仲裁法〉若干问题的解释》第七条，此类约定无效，除非一方申请仲裁后另一方未在首次开庭前提出异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确保书面形式：仲裁协议必须是书面形式，包括合同书、信件、电报、电传、传真、电子数据交换和电子邮件等可以有形表现所载内容的形式。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核心风险：仲裁事项范围约定过窄，部分争议无法覆盖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风险内容：仲裁条款仅约定“因履行本合同产生的争议”，可能被解释为不包括合同效力、解除、违约责任等争议，导致部分诉求无法通过仲裁解决。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《中华人民共和国仲裁法》第二条【仲裁范围】：“平等主体的公民、法人和其他组织之间发生的合同纠纷和其他财产权益纠纷，可以仲裁。”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使用宽泛的仲裁事项表述：建议使用“因本合同引起的或与本合同有关的任何争议”，该表述被普遍认为涵盖了与合同相关的所有争议，包括合同的订立、效力、解释、履行、变更、解除、违约、侵权责任等。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 仲裁程序启动与进行中的核心注意事项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一旦启动仲裁，程序灵活性与专业性并存，企业需主动把握。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核心风险：仲裁机构选择不当，增加成本与不确定性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风险内容：选择了不熟悉业务领域、规则不完善或公信力不足的仲裁机构，可能影响裁决的专业性和公正性。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优先选择知名仲裁机构：对于国内重大商事纠纷，优先考虑中国国际经济贸易仲裁委员会（CIETAC）、北京仲裁委员会（BAC/BIAC）、上海国际经济贸易仲裁委员会（SHIAC） 等。这些机构规则成熟，仲裁员库专业，国际认可度高。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查询仲裁机构信息：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中国国际经济贸易仲裁委员会：http://www.cietac.org</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北京仲裁委员会：http://www.bjac.org.cn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上海国际经济贸易仲裁委员会：http://www.shiac.org</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中国仲裁网（信息聚合平台）：http://www.arbitration.org.cn（可查询国内各仲裁机构基本信息和动态）。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核心风险：仲裁员选定策略失误，影响案件走向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风险内容：未能在规定时间内选定仲裁员，或选定的仲裁员专业背景与案件不匹配，影响裁决质量。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仲裁法》第三十一条【仲裁员选定】：“当事人约定由三名仲裁员组成仲裁庭的，应当各自选定或者各自委托仲裁委员会主任指定一名仲裁员，第三名仲裁员由当事人共同选定或者共同委托仲裁委员会主任指定。当事人约定由一名仲裁员成立仲裁庭的，应当由当事人共同选定或者共同委托仲裁委员会主任指定仲裁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提前研究仲裁员名册：在仲裁机构官网仔细研究《仲裁员名册》，根据案件类型（如建设工程、知识产权、金融证券）选择有相关行业经验和法律背景的仲裁员。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善用委托指定权：如无法与对方共同选定首席/独任仲裁员，应积极向仲裁委员会主任提交书面意见，说明案件专业领域和期望的仲裁员特质，供主任指定时参考。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核心风险：财产保全申请路径特殊，需法院协助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风险内容：仲裁机构无权直接采取查封、冻结等保全措施，必须通过法院执行，程序较诉讼保全更为复杂和耗时。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仲裁法》第二十八条【仲裁保全】：“一方当事人因另一方当事人的行为或者其他原因，可能使裁决不能执行或者难以执行的，可以申请财产保全。当事人申请财产保全的，仲裁委员会应当将当事人的申请依照民事诉讼法的有关规定提交人民法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提前准备，同步进行：在提起仲裁申请的同时，立即准备财产保全申请材料，通过仲裁委员会转交被申请人住所地或财产所在地的中级人民法院（涉外仲裁）或基层人民法院（国内仲裁）。与仲裁机构保持沟通，催促其尽快转递。</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核心风险：对仲裁程序的灵活性与专业性不适应</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风险内容：仲裁程序不如诉讼程序刚性，更尊重当事人意思自治。企业若沿用诉讼思维，可能无法充分利用仲裁优势（如合并审理、书面审理、专家证人）。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善用程序协议：可与对方协商，在仲裁庭组织下，简化某些程序环节、约定更短的举证期限，以加快进程。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重视专业证据与陈述：仲裁员多为行业专家，技术性证据和逻辑清晰的专业陈述比单纯的法律辩论更能打动仲裁庭。可考虑聘请专家证人出具意见。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 裁决作出后的核心注意事项：终局性与有限救济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仲裁裁决的“一裁终局”是双刃剑，既带来效率，也意味着救济途径有限。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核心风险：裁决被法院裁定撤销或不予执行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风险内容：仲裁程序存在重大瑕疵（如无仲裁协议、超裁、违反正当程序等），对方可能向法院申请撤销或不予执行裁决，使胜诉成果落空。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仲裁法》第五十八条【撤销裁决】：“当事人提出证据证明裁决有下列情形之一的，可以向仲裁委员会所在地的中级人民法院申请撤销裁决：（一）没有仲裁协议的；（二）裁决的事项不属于仲裁协议的范围或者仲裁委员会无权仲裁的；（三）仲裁庭的组成或者仲裁的程序违反法定程序的；（四）裁决所根据的证据是伪造的；（五）对方当事人隐瞒了足以影响公正裁决的证据的；（六）仲裁员在仲裁该案时有索贿受贿，徇私舞弊，枉法裁决行为的。人民法院经组成合议庭审查核实裁决有前款规定情形之一的，应当裁定撤销。人民法院认定该裁决违背社会公共利益的，应当裁定撤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事诉讼法》第二百四十四条【不予执行】：“对依法设立的仲裁机构的裁决，一方当事人不履行的，对方当事人可以向有管辖权的人民法院申请执行。受申请的人民法院应当执行。被申请人提出证据证明仲裁裁决有下列情形之一的，经人民法院组成合议庭审查核实，裁定不予执行：…（四）裁决的事项不属于仲裁协议的范围或者仲裁机构无权仲裁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严格遵守仲裁程序：确保仲裁全过程合法合规，保留所有程序性文件（如组庭通知、开庭通知、送达回证），以应对可能的撤销或不予执行申请。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积极应对撤销程序：若对方申请撤销裁决，必须在收到法院通知后及时提交答辩，提供充分证据证明仲裁程序的合法性。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核心风险：仲裁裁决的强制执行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风险内容：与诉讼判决一样，仲裁裁决需要向法院申请强制执行，面临“执行难”的共性问题。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《中华人民共和国仲裁法》第六十二条【裁决执行】：“当事人应当履行裁决。一方当事人不履行的，另一方当事人可以依照民事诉讼法的有关规定向人民法院申请执行。受申请的人民法院应当执行。”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实务操作与规避：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及时申请执行：在裁决规定的履行期满后，或裁决送达后，立即向被执行人住所地或财产所在地的中级人民法院（涉外裁决）或基层人民法院（国内裁决）申请强制执行。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主动提供财产线索：积极查找并向执行法院提供被执行人有效的财产线索。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 仲裁与民事诉讼的区别、优点与缺点总结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核心区别：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管辖依据：仲裁基于双方协议；诉讼基于法律规定（法定管辖）。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审理机构：仲裁由仲裁委员会（民间机构）审理；诉讼由人民法院（国家审判机关）审理。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程序选择：仲裁程序灵活，当事人可约定；诉讼程序法定，刚性较强。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审理人员：仲裁员由当事人选定，多为行业专家；法官由法院指定，为职业法律人。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审理方式：仲裁以不公开审理为原则；诉讼以公开审理为原则。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审级制度：仲裁实行一裁终局；诉讼实行两审终审，可申请再审。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7. 境外执行：仲裁裁决可根据《纽约公约》在160多个国家和地区得到承认和执行；法院判决的境外执行主要通过双边司法协助条约，范围窄、难度大。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仲裁的优点：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专业性：仲裁员具备特定行业知识，更适合处理技术复杂的商事纠纷。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保密性：不公开审理，保护商业秘密和商业信誉。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高效性：一裁终局，程序灵活，通常比诉讼耗时短。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自主性：当事人可选定仲裁员、约定程序规则和开庭地点。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国际执行力强：裁决更易在全球范围内得到执行。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仲裁的缺点：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成本可能更高：需支付仲裁机构管理费和仲裁员报酬，费用通常高于诉讼费。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财产保全不便：需通过法院进行，不如诉讼保全直接。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救济途径有限：一裁终局，纠错机会少，仅能通过有限的撤销程序救济。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程序依赖对方配合：如对方恶意拖延或拒不选定仲裁员，仍需仲裁委员会主任指定，可能影响效率预期。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调查权有限：仲裁庭无权强制调取证据或传唤证人，依赖当事人举证和法院协助。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民事诉讼的优点：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强制力强：法院拥有国家强制力，可直接采取保全、调查、制裁等措施。</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程序保障严格：两审终审及再审程序，为当事人提供了更多纠错机会。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成本相对透明：诉讼费有明确的国家标准，通常低于仲裁费用。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覆盖面广：无前置协议要求，任何符合起诉条件的纠纷均可受理。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民事诉讼的缺点：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程序冗长：两审加执行，周期长，效率低。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公开审理：不利于商业秘密保护。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专业性可能不足：法官未必精通特定行业技术。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国际执行难：判决境外承认与执行困难重重。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五、 核心法律依据汇总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《中华人民共和国仲裁法》（2017年修正）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第四条：协议仲裁原则。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第十六条、第十八条：仲裁协议的形式、内容及无效情形。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第二十八条：仲裁中的财产保全。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第三十一条：仲裁员的选定。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第五十八条：撤销仲裁裁决的法定情形。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第六十二条：仲裁裁决的执行。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《中华人民共和国民事诉讼法》（2021年修正）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第二百四十四条：不予执行仲裁裁决的法定情形。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第二百八十三条：涉外仲裁裁决的承认与执行。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司法解释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《最高人民法院关于适用〈中华人民共和国仲裁法〉若干问题的解释》（法释〔2006〕7号）：对仲裁协议效力、撤销裁决等具体问题作出解释。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六、 必备官方查询渠道汇总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主要仲裁机构官网：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中国国际经济贸易仲裁委员会（CIETAC）：http://www.cietac.org（查询规则、仲裁员名册、费用等）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北京仲裁委员会（BAC/BIAC）：http://www.bjac.org.cn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上海国际经济贸易仲裁委员会（SHIAC）：http://www.shiac.org</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中国广州仲裁委员会：http://www.gzac.org</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深圳国际仲裁院（SCIA）：http://www.scia.com.cn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仲裁信息聚合与研究平台：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中国仲裁网：http://www.arbitration.org.cn（了解行业动态、各机构信息）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法院执行信息查询：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中国执行信息公开网：http://zxgk.court.gov.cn（查询被执行人信息，为仲裁裁决执行做准备）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最终建议：选择仲裁还是诉讼，是企业重要的战略决策。建议在签订重大合同时，结合交易类型（是否涉外、技术复杂性）、对效率和保密性的需求、对方信誉等因素，审慎设计争议解决条款。 一旦选择仲裁，务必确保仲裁条款的有效与明确。进入仲裁程序后，企业应充分认识并利用其程序灵活、专业性强、保密性高的特点，积极配合仲裁庭推进程序。同时，必须高度重视仲裁程序的合规性，因为“一裁终局”之下，程序瑕疵可能带来无法挽回的后果。对于复杂的仲裁案件，聘请在仲裁领域有丰富经验的律师至关重要。</w:t>
      </w:r>
    </w:p>
    <w:p w14:paraId="7C0B3048">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13. 采购 / 用工事务 / 用工事务</w:t>
      </w:r>
    </w:p>
    <w:p w14:paraId="0049BC60">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《劳动合同》</w:t>
      </w:r>
    </w:p>
    <w:p w14:paraId="5748B4D7">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企业用工性质精准识别与全流程法律税务风险防范实务指南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本指南将以纯文本形式，全面、系统、细致地整合您此前关注的税务细节、从属性判断标准及各类合同风险核心，为企业管理者提供一套可直接落地的操作框架。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第一部分：用工性质“四步识别法”——从主体资格到属性判断的精准操作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正确识别用工关系是合规管理的起点。以下步骤需严格按序执行：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第一步：前置核查——排除法定障碍与特殊主体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在考虑任何用工关系前，必须完成两项核查，这直接决定法律关系的可能性边界。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年龄合法性核查：根据《中华人民共和国劳动法》第十五条，核查拟用工人员是否已满十六周岁。招用未满十六周岁的未成年人，构成违法使用童工，将面临《禁止使用童工规定》（国务院令第364号）下的严厉行政处罚乃至刑事责任。此为前提中的前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退休与社保待遇状态核查：这是区分标准劳动关系与其他关系的第一道分水岭。依据《中华人民共和国劳动合同法实施条例》第二十一条及《最高人民法院关于审理劳动争议案件适用法律问题的解释（一）》（法释〔2020〕26号）第三十二条，需查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该人员是否已达到国家规定的法定退休年龄（通常为男满60周岁，女干部满55周岁，女工人满50周岁，特殊工种或有其他规定的从其规定）。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若已超龄，其是否已依法享受基本养老保险待遇（包括城镇职工养老保险或城乡居民养老保险）。此处的“享受待遇”以开始按月领取养老金为准，而非仅满足缴费年限。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操作路径：要求该人员提供身份证复印件及养老金发放银行的流水记录或社保部门出具的待遇证明，作为人事档案必备材料。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第二步：核心判断——运用“三从属性”标准进行实质性审查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对于通过第一步核查、具备建立劳动关系潜在资格的人员，需运用以下“三从属性”标准进行实质性判断。该标准源于《关于确立劳动关系有关事项的通知》（劳社部发〔2005〕12号）第一条，是司法实践中认定劳动关系的黄金法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人格从属性（管理与被管理）：指劳动者将其人身自由在一定限度内交给用人单位，服从其指挥与管理。具体表现为：①工作指令需服从（接受用人单位关于何时、何地、如何工作的指示）；②规章制度需遵守（受考勤、请假、绩效考核、奖惩等企业内部制度约束）；③工作过程受监督（用人单位有权对劳动过程进行监督、检查和纠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经济从属性（经营风险归属）：指劳动者的经济收入依赖于用人单位，其劳动力与用人单位的生产资料相结合，劳动成果归属于用人单位。具体表现为：①报酬由用人单位支付（定期、相对固定的劳动报酬，而非一次性项目成果费）；②工具、场所常由单位提供；③劳动者不承担经营风险，无论用人单位业务盈亏，其工资原则上均需支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组织从属性（业务组成部分）：指劳动者所提供的劳动是用人单位有组织、有目的的业务活动中不可或缺的组成部分，劳动者本人被纳入用人单位的生产组织体系。具体表现为：其所从事的工作是用人单位主营业务或主营业务直接相关的辅助业务，而非独立的、可分离的外部服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结论：只有当某一用工关系同时、充分满足以上“三从属性”特征时，才能被认定为劳动关系，适用《劳动合同法》。缺少任一属性，尤其是人格从属性，则极大可能属于劳务或承揽关系。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第三步：分类匹配——基于识别结果的合同与财务路径选择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根据前两步的判断结论，将用工关系精准归类，并采取对应的法律与财务行动。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情形一：标准劳动关系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识别特征：人员未达退休年龄，或超龄但未享受养老保险待遇，且完全符合上述“三从属性”。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应签合同：书面《劳动合同》。合同必须包含《劳动合同法》第十七条规定的全部必备条款，特别是工作内容、地点、报酬、社保等。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财务与税务操作：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支付形式：通过“应付职工薪酬”科目核算，制作工资表入账，作为企业所得税税前扣除凭证。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个人所得税：按照“工资、薪金所得”税目，由企业履行预扣预缴义务。适用3%-45%的七级超额累进税率，每月可扣除5000元基本减除费用及专项附加扣除等。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社会保险与公积金：强制缴纳。自用工之日起30日内，企业必须为员工办理社保（养老、医疗、工伤、失业、生育）及住房公积金登记，并承担单位应缴部分。这是企业最主要的用工合规成本与法定义务。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风险提示：此处绝不可要求员工提供发票报销形式替代工资支付，否则将被税务机关认定为偷逃个人所得税和社保费，面临补缴、滞纳金及罚款。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情形二：劳务关系（自然人提供）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识别特征：提供劳务一方为自然人（非个体户），双方地位平等，不接受严格管理，按工作成果结算；或，提供方为已享受养老保险待遇的退休人员。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应签合同：《劳务合同》或《承揽合同》。合同应明确工作内容、交付成果、报酬总额、支付节点、知识产权归属及免责条款，避免出现管理性条款。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财务与税务操作：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支付凭证：必须取得发票。个人提供劳务，可前往税务机关（或通过电子税务局）申请代开增值税普通发票，发票品目通常为“劳务费”。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个人所得税：企业作为支付方，需按“劳务报酬所得”税目预扣预缴个人所得税。税率与工资薪金不同，需注意：①收入不超过4000元，减除费用800元；②超过4000元，减除20%费用；③适用20%-40%的三级超额累进预扣率。次年，该个人需将此项收入与工资薪金等合并，进行个人所得税综合所得汇算清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社会保险：无需缴纳。劳务提供者需自行承担社会保障问题。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风险提示：务必区分“劳务报酬”与“经营所得”。若个人已办理税务登记（如个体户），则其提供发票的税目应为“经营所得”，由个人自行申报缴纳，支付方无需预扣预缴个税。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情形三：劳务派遣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识别特征：存在三方关系。企业与劳务派遣单位（须持有《劳务派遣经营许可证》）签订《劳务派遣协议》；劳动者与派遣单位签订《劳动合同》，被派至企业工作。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应签合同：与派遣单位签订《劳务派遣协议》，明确派遣岗位、人数、期限、劳动报酬及社保数额、服务费、退回机制等。不得与派遣劳动者签订劳动合同。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财务与税务操作：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支付对象：企业向派遣单位支付服务费及协议约定的劳动者工资、社保费用总额，取得派遣单位开具的增值税发票（服务费部分）。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个税与社保：由派遣单位负责为派遣劳动者发放工资、预扣预缴个税、缴纳社保。用工单位需监督派遣单位履行义务，并确保执行同工同酬原则。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岗位与比例限制：严格遵守《劳务派遣暂行规定》（人社部令第22号），派遣岗位只能是临时性、辅助性、替代性岗位，且使用的被派遣劳动者数量不得超过其用工总量的10%。</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情形四：超龄未享受待遇人员用工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识别特征：人员达到法定退休年龄，但因缴费年限不足等原因未享受基本养老保险待遇。这是当前司法实践与用工管理中的高风险灰色地带。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法律关系定性：多数地区司法判例倾向于认定为特殊劳动关系或参照劳动关系处理部分权利（特别是工伤保险待遇）。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应签合同：强烈建议签订内容详尽的《聘用协议》或《劳务协议》，明确约定工作内容、报酬、医疗、病假、解约条件及意外伤害责任承担。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财务与税务操作：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个税处理：通常仍按“工资、薪金所得”申报个税较为稳妥。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社保处理——重大风险点：此类人员无法按标准劳动关系参加职工养老保险和医疗保险。但工伤保险是关键：部分地区政策允许用人单位为其单独缴纳工伤保险（如广东、江苏等地）。操作前必须向当地社保经办机构书面确认政策可行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核心风控措施：在无法或未能单独缴纳工伤保险的情况下，必须为其购买与工伤保险待遇相近的《雇主责任险》或足额的商业团体意外险，并将此作为用工前提。绝不能因其无法参保而忽视工伤风险。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第四步：动态管理与证据留存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用工关系并非一成不变。企业应建立年度复审机制，对达到退休年龄、岗位职责发生根本变化的人员，及时重新评估并变更协议。同时，必须系统化留存各类证据：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劳动关系证据：劳动合同、工资支付记录、社保缴纳记录、盖有公章的工作证、考勤记录、含有工作指令的邮件与聊天记录等。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劳务关系证据：劳务合同、项目成果交付确认单、对应发票、付款凭证、显示独立工作性质的沟通记录。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合规程序证据：规章制度民主协商与公示记录、绩效考核书面材料、培训签到表、奖惩通知送达回执等。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第二部分：《劳动合同法》十大高危风险点深度剖析与精细化防范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以下风险点是企业劳动争议败诉、产生巨额赔付的集中区域，须逐项对照排查。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风险点一：未及时签订书面劳动合同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后果：依据《劳动合同法》第八十二条，自用工之日起超过一个月不满一年未签，用人单位应向劳动者每月支付二倍工资。计算基数为劳动者当月应得工资，最多可累计支付11个月。满一年未签，视为已订立无固定期限劳动合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精细化防范：推行“入职手续流水线”，将劳动合同签署作为领取办公设备、开通系统权限的前置环节。采用可靠的电子签约系统，实现远程签署与自动归档，杜绝遗漏。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风险点二：试用期约定违法及解除不当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后果：违反《劳动合同法》第十九条超期约定试用期，需以试用期满月工资为标准，按已履行的超过法定试用期的期间向劳动者支付赔偿金（非经济补偿金）。在试用期随意解除，若无法证明劳动者“不符合录用条件”，构成违法解除，需支付赔偿金（2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精细化防范：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法定上限牢记：合同期3个月-1年，试用期≤1个月；1年-3年，≤2个月；3年及以上及无固定期，≤6个月。同一用人单位与同一劳动者只能约定一次试用期。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录用条件具体化：在录用通知或劳动合同附件中，明确量化、可考核的录用条件（如业绩指标、培训考核成绩、合规要求等），并让员工签字确认。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解除证据链：在试用期内，定期进行考核评估，留存其不胜任工作的客观记录（如未达标的报告、考核表、客户投诉等），在试用期届满前发出书面解除通知并说明理由。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风险点三：规章制度程序瑕疵与内容违法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后果：依据《劳动合同法》第四条，未经民主程序制定或未公示的规章制度，不能作为管理依据。据此做出的解除决定将被判违法。内容若违反法律强制性规定（如罚款超过合理限度、侵犯隐私），该条款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精细化防范：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民主程序留痕：召开职工代表大会或全体职工会议讨论规章制度草案，制作会议纪要并由参会代表签字；或通过内部办公系统、电子邮件向全体员工发送草案征求意见，保留反馈记录。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公示告知到位：通过组织全员培训（签到表）、发放员工手册（签收单）、在公司公告栏及内部网站长期公布（截图存档）等多种方式进行。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内容合法审查：规章制度中的处罚条款应与违纪行为的性质、情节相匹配，避免设定过高罚款。涉及工资、休假等核心权益的变更，需与员工协商一致。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风险点四：加班费支付争议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法律后果：根据《劳动合同法》第八十五条，未足额支付加班费，劳动行政部门责令限期支付，逾期不付，按应付金额50%以上100%以下加付赔偿金。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精细化防范：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制度先行：建立《加班审批管理制度》，明确规定加班需经部门主管及人力资源部书面批准，未经批准的加班不予认定。该制度必须经民主公示程序。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精确核算：严格执行法定的加班费计算基数（劳动者本人正常工作时间工资）和倍数（工作日1.5倍、休息日2倍、法定假日3倍）。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工资单列明：在每月工资条中单独列出“工作日加班费”、“休息日加班费”、“法定假日加班费”项目及具体金额，让员工确认。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风险点五：经济补偿金（N）与赔偿金（2N）的误用与拒付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法律后果：应支付N时未支付，劳动者可主张；违法解除时应支付2N而未付，经仲裁诉讼后需强制支付。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精细化防范：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清晰掌握支付N的法定情形：重点包括：用人单位提出协商一致解除（《劳动合同法》第四十六条第二项）；劳动者因用人单位过错（未及时足额付薪、未缴社保等）解除（第三十八条）；用人单位无过失性辞退（第四十条）；经济性裁员（第四十一条）；合同期满不续签（除用人单位维持或提高条件劳动者不同意外）（第四十六条第五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精确计算N：“N”指工作年限，满半年按1年算，不满半年按半年算。“月工资”指劳动者离职前12个月的应发平均工资，包括计时/计件工资、奖金、津贴补贴、加班费等货币性收入。高薪者（月工资高于上年度社平工资3倍）的补偿年限封顶12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区分N与2N：只有在用人单位违法解除或终止时，才适用2N。合法解除（如严重违纪、协商一致）支付N或不支付。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风险点六：社会保险的“自愿放弃”陷阱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后果：依据《社会保险法》第八十六条，责令限期缴纳，并自欠缴之日起按日加收万分之五的滞纳金；逾期仍不缴纳，处欠缴数额1倍以上3倍以下罚款。劳动者可据此随时提出解除并索要经济补偿金（N）。一旦发生工伤，所有费用由用人单位全额承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细化防范：树立“社保成本是刚性成本”的观念。任何与员工签订的“自愿放弃社保协议”、“社保折现协议”均因违反法律强制性规定而无效。应将社保缴纳作为入职流程的强制性IT节点，与劳动合同签署、薪资发放系统联动，实现“无社保，不付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风险点七：离职程序中的法律陷阱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法律后果：未出具解除证明，影响劳动者再就业的，需赔偿损失（《劳动合同法》第八十九条）。未在15日内办理档案和社保转移造成损失，需赔偿。未结清工资，可被责令加付赔偿。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细化防范：制定标准《离职交接清单》及流程：①工作交接（资料、客户、系统权限）；②财物返还；③薪资、补偿金结算（出具结算单并签字）；④出具《解除/终止劳动合同证明书》（注明离职日期、原因，原因应客观中性，避免写“严重违纪”等无充分证据支持的主观评价）；⑤在15日内办结社保、档案转移手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风险点八：工伤事故的绝对责任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法律后果：未参保职工发生工伤，由用人单位按《工伤保险条例》规定的项目和标准全额支付所有费用（医疗费、伤残津贴、一次性伤残补助金、工亡补助金等），金额巨大。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细化防范：①全员强制参保，不可有例外。②建立事故即时报告流程，24小时内向社保行政部门报告。③即使有“自愿不缴”协议，工伤责任也无法免除。④对于高风险岗位，在工伤保险基础上，可叠加购买雇主责任险，以覆盖自费药、停工留薪期工资等工伤保险未覆盖的部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风险点九：女职工“三期”（孕期、产期、哺乳期）管理不当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法律后果：违法解除“三期”女职工劳动合同，必然构成违法解除，需支付赔偿金（2N）。未按规定支付产假工资或缴纳生育保险，需承担相应待遇。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细化防范：①熟悉当地产假、哺乳假天数及生育津贴政策。②不得因女职工怀孕、生育、哺乳而降低工资、予以辞退或单方解除合同。③调整“三期”女职工工作岗位或降低工资，必须基于充分的协商一致或医疗证明（如孕期不适应原岗位）。④产假期间工资，已参保的由生育保险基金支付生育津贴，未参保的由用人单位按产前工资标准支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风险点十：非全日制用工与全日制用工的混淆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识别特征：非全日制用工指以小时计酬为主，劳动者在同一用人单位一般平均每日工作时间不超过四小时，每周工作时间累计不超过二十四小时。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法律后果：若实际管理符合全日制特征却被认定为非全日制，将面临补缴社保、支付未签合同双倍工资等风险。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精细化防范：①严格控制工作时间，保留每日工时记录。②工资结算周期最长不得超过十五日。③可订立口头协议，但建议签订书面《非全日制用工合同》以明确权利义务。④用人单位仅需为其缴纳工伤保险，其他险种非强制。此为降低成本的正规路径，但必须满足严格的工时限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第三部分：核心建议与系统性合规体系构建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建立“入职定性与合同匹配”机制：将前述“四步识别法”嵌入HR招聘与入职流程，作为必经审核步骤，确保每位劳动者在入职第一天即被正确归类并签署对应合同。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推行“证据导向”的用工管理：所有管理行为，从招聘、考核、调岗、奖惩到解除，均需留下书面或电子证据。建立员工人事档案电子化系统，实现证据的长期、安全保存与快速检索。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税务、社保与法务协同：财务部门（负责发薪、报税、取得发票）、HR部门（负责合同、社保、入离职）、法务部门（负责制度审核、争议处理）必须信息互通，流程衔接，形成合规管理的铁三角。</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善用外部专业资源：对于复杂、群体性或高管的用工关系处理、大规模裁员、重大制度修订等，务必提前引入外部专业劳动法律师团队进行方案设计和风险审核。</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用工合规是一项系统性工程，其核心在于敬畏规则、过程留痕、动态管理。通过将上述细致入微的标准与风险防控点融入日常运营，企业方能构建稳固的劳资关系，从根本上避免重大法律与财务风险，实现可持续的稳健经营。</w:t>
      </w:r>
    </w:p>
    <w:p w14:paraId="6F596078">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14. 采购 / 用工事务 / 用工事务</w:t>
      </w:r>
    </w:p>
    <w:p w14:paraId="199763AC">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《劳务合同》</w:t>
      </w:r>
    </w:p>
    <w:p w14:paraId="0A226A9B">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解决企业用工风险问题</w:t>
      </w:r>
    </w:p>
    <w:p w14:paraId="490B80BE">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15. 采购 / 用工事务 / 用工事务</w:t>
      </w:r>
    </w:p>
    <w:p w14:paraId="2004C761">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《非全日制劳动合同》</w:t>
      </w:r>
    </w:p>
    <w:p w14:paraId="2FA92336">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解决非全日制用工风险</w:t>
      </w:r>
    </w:p>
    <w:p w14:paraId="6EF1FC0D">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16. 采购 / 用工事务 / 用工事务</w:t>
      </w:r>
    </w:p>
    <w:p w14:paraId="148319C4">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《超龄用工协议》</w:t>
      </w:r>
    </w:p>
    <w:p w14:paraId="62305F8C">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解决超龄用工风险</w:t>
      </w:r>
    </w:p>
    <w:p w14:paraId="3FDA816B">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17. 采购 / 用工事务 / 用工事务</w:t>
      </w:r>
    </w:p>
    <w:p w14:paraId="1AFE9B91">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《劳务派遣合同》</w:t>
      </w:r>
    </w:p>
    <w:p w14:paraId="67B51A2A">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解决劳务派遣用工风险</w:t>
      </w:r>
    </w:p>
    <w:p w14:paraId="1AD6C039">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18. 销售 / 销售产品 / 销售产品</w:t>
      </w:r>
    </w:p>
    <w:p w14:paraId="302A0FFD">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《买卖合同》</w:t>
      </w:r>
    </w:p>
    <w:p w14:paraId="41F67C3E">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企业签订《商品买卖合同》全流程法律风险防范与合规操作指南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商品买卖合同是企业经营中最基础、最频繁的法律行为，其条款的严谨性与履行的规范性直接关系到交易安全与商业利益。一份权责清晰的合同是防范纠纷、保障权益的核心工具。以下从买卖双方（尤其侧重出卖人视角）系统梳理签约与履约中的核心法律风险，并提供精细化、可操作的防范策略及法律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第一部分：合同效力与交易主体资格审查的根本性风险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风险点一：交易主体不适格或存在权利瑕疵。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与无民事行为能力人、限制民事行为能力人签约，或与未经依法登记的组织签约，可能导致合同效力待定甚至无效。更常见的是，签约代理人超越授权范围、法定代表人超越公司章程权限，若事后未获追认，合同对相关主体不发生效力。此外，与“空壳公司”或已被列入严重违法失信名单的企业交易，将面临货款无法收回或货物无法取得的重大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《中华人民共和国民法典》第一百四十四条：无民事行为能力人实施的民事法律行为无效。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《民法典》第一百七十一条：行为人没有代理权、超越代理权或者代理权终止后，仍然实施代理行为，未经被代理人追认的，对被代理人不发生效力。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《民法典》第五百零五条：当事人超越经营范围订立的合同的效力，应当依照本法第一编第六章第三节和本编的有关规定确定，不得仅以超越经营范围确认合同无效。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签约前强制核验：必须通过 “国家企业信用信息公示系统”（官方网址：http://www.gsxt.gov.cn）查询对方的工商注册信息、法定代表人、股东及出资情况、经营范围，确认其合法存续状态。对于重大交易，还应通过 “中国执行信息公开网”（官方网址：http://zxgk.court.gov.cn）核查对方及其法定代表人是否为“失信被执行人”。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审查授权文件：若对方由代理人签约，必须查验并留存加盖公章的《授权委托书》原件，明确代理权限、期限及事项。核对代理人身份信息与委托书是否一致。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要求出具权利保证：在合同中设立条款，要求出卖人声明并保证其对标的物享有完整、无瑕疵的所有权，未设置任何抵押、质押、留置等担保物权，也未涉及任何权属争议或司法查封。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风险点二：合同形式不规范，核心条款缺失或模糊。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虽《民法典》认可口头合同，但若未将标的、数量、质量、价款、履行期限等核心条款以书面形式固定，一旦发生争议，将面临举证困难，主张权利可能无法得到支持。通过微信、邮件达成的合意，若未明确表达“合同成立”的意思，可能被认定为磋商意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《民法典》第五百九十六条：买卖合同的内容一般包括标的物的名称、数量、质量、价款、履行期限、履行地点和方式、包装方式、检验标准和方法、结算方式、合同使用的文字及其效力等条款。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《民法典》第五百一十条、第五百一十一条：规定了合同约定不明时的补充确定规则。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订立完备书面合同：对于涉及金额较大、标的特殊或履行周期较长的交易，必须签订内容完备的书面合同。建议使用国家市场监督管理总局发布的《买卖合同（示范文本）》作为基础。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关键条款具体化：避免使用模糊、概括性语言。所有条款均应具备可执行性。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第二部分：合同标的、质量与检验的核心风险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风险点三：标的物约定不明，存在权利或法律瑕疵。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约定“采购钢材”、“购买设备”，未明确具体型号、规格、技术参数、生产厂家等，导致交付货物不符合实际需求。更严重的是，标的物本身是法律、行政法规禁止或限制转让的物品（如文物、特许经营商品），或出卖人无权处分（如已抵押、查封的财产），将导致合同无效或无法实现所有权转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《民法典》第五百九十七条：因出卖人未取得处分权致使标的物所有权不能转移的，买受人可以解除合同并请求出卖人承担违约责任。法律、行政法规禁止或者限制转让的标的物，依照其规定。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《民法典》第六百一十二条：出卖人就交付的标的物，负有保证第三人对该标的物不享有任何权利的义务，但是法律另有规定的除外。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制作详尽的《标的物明细清单》：作为合同附件，列明每一项货物的名称、品牌、型号、规格、技术标准、产地、生产商、单位、数量、单价等所有可识别特征。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进行权利负担查询：对于车辆、船舶、航空器、股权、知识产权等需要登记的财产，在签约前应到相应的登记机关查询权属和抵押、查封状态。对于普通动产，可尝试在 “中国人民银行征信中心动产融资统一登记公示系统”（官方网址：https://www.zhongdengwang.org.cn，简称“中登网”）查询是否存在浮动抵押、所有权保留等登记。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风险点四：质量标准与检验期限约定缺失。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约定明确的质量标准（如国标、行标、企标或样品），收货后一旦发生质量争议，双方各执一词，陷入僵局。未约定检验期限，买受人可能因未在法定的“合理期限”或“二年”内提出异议，而被视为货物符合约定，丧失索赔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《民法典》第六百一十五条：出卖人应当按照约定的质量要求交付标的物。出卖人提供有关标的物质量说明的，交付的标的物应当符合该说明的质量要求。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二十一条：当事人约定检验期限的，买受人应当在检验期限内将标的物的数量或者质量不符合约定的情形通知出卖人…没有约定检验期限的，买受人应当在发现或者应当发现标的物的数量或者质量不符合约定的合理期限内通知出卖人…自收到标的物之日起二年内未通知的，视为标的物的数量或者质量符合约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明确引用质量标准：在合同中写明所依据的质量标准全称及编号，例如“符合GB/T 3091-2015《低压流体输送用焊接钢管》标准”。凭样品买卖的，必须共同封存样品，并对样品质量予以说明。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设定明确的检验期与异议程序：约定“买受人应在货到后【7】个工作日内完成检验，检验期内发现数量或质量问题的，应以书面形式（包括邮件、盖章函件）向出卖人提出异议，并附相关证据（如照片、视频、检测报告）”。此约定可排除法定的“二年”最长时限，使权利义务更清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第三部分：价款、支付与发票的税务风险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风险点五：价款条款歧义，支付方式与条件不明确。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风险内容：价款数额、币种书写不清（如“1000”未注明是元还是万元），支付方式（现金、转账、承兑汇票）未约定，付款条件（如“货到付款”未明确付款天数）模糊，极易引发付款争议和现金流风险。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《民法典》第六百二十六条：买受人应当按照约定的数额和支付方式支付价款。对价款的数额和支付方式没有约定或者约定不明确的，适用本法第五百一十条、第五百一十一条第二项和第五项的规定。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清晰约定价款与支付：合同总价应同时以大写和小写注明，并明确币种。支付方式应具体到“买受人通过银行转账方式支付至出卖人指定的如下账户：户名：XXX，开户行：XXX，账号：XXX”。付款节点应与合同履行里程碑挂钩，如“合同签订付30%，货到验收合格付65%，质保期满付5%”。</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约定逾期付款违约责任：明确约定“若买受人逾期付款，每逾期一日，应按逾期金额的【万分之五】向出卖人支付违约金”。此标准可参考全国银行间同业拆借中心公布的贷款市场报价利率（LPR）的倍数设定，具有司法可支持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风险点六：税务条款约定不明，发票开具引发纠纷。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风险内容：约定“不含税价”，但未明确增值税等税款由哪方承担。出卖人开具发票后，要求买受人补缴税款，而买受人拒绝，引发诉讼。根据《发票管理办法》，开具发票是法定义务，不能通过合同约定免除。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明确价格是否含税及开票类型：在价款条款中明确“本合同价格为【含增值税】价格，增值税税率为【13%】”。同时约定出卖人需向买受人开具税率为【13%】的【增值税专用发票】（或普通发票）。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将发票开具与付款义务关联：约定“出卖人应在收到每笔货款前【5】个工作日内，向买受人出具等额、合法的增值税发票。买受人收到发票后支付相应款项。”或“付款金额以含税价计算，出卖人收款后开具发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第四部分：交付、风险转移与所有权的核心风险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风险点七：交付地点、方式不明，风险转移时点误判。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约定交付地点，根据《民法典》第六百零三条，需要运输的，货交第一承运人后风险即转移给买受人。若货物在运输途中损毁，买受人需自行承担损失，但仍需向出卖人付款。出卖人委托无资质物流公司导致货损，需承担赔偿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《民法典》第六百零三条：规定了交付地点约定不明的确定规则。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《民法典》第六百零四条：标的物毁损、灭失的风险，在标的物交付之前由出卖人承担，交付之后由买受人承担，但是法律另有规定或者当事人另有约定的除外。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明确约定“交付”的内涵：在合同中定义“交付完成”的时点，例如“出卖人将货物运送至买受人指定的【XX市XX区XX仓库】，并经买受人指定人员现场清点数量、签收《收货单》后，视为交付完成，货物毁损、灭失的风险自此转移至买受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约定运输责任：若由出卖人负责运输，应约定其必须委托具备合法资质的承运人，并承担货物运抵指定地点前的全部风险和责任。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风险点八：所有权保留条款缺失或未登记。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在赊销或分期付款交易中，若未约定所有权保留条款，一旦买受人未付清货款便破产或将货物转卖，出卖人只能作为普通债权人申报债权，无法取回货物。即使约定了所有权保留，但未经登记，不得对抗善意第三人（如不知情的次买受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《民法典》第六百四十一条：当事人可以在买卖合同中约定买受人未履行支付价款或者其他义务的，标的物的所有权属于出卖人。出卖人对标的物保留的所有权，未经登记，不得对抗善意第三人。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订立明确的所有权保留条款：约定“在买受人付清本合同项下全部货款及其他应付费用之前，本合同所涉全部货物的所有权仍归出卖人所有。买受人不得对货物进行抵押、质押或作出任何损害出卖人所有权的处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办理所有权保留登记：对于重要的动产交易，出卖人应在 “中国人民银行征信中心动产融资统一登记公示系统” 上办理所有权保留登记，以取得对抗第三人的法律效力。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第五部分：违约责任与争议解决的救济风险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风险点九：违约责任约定不明或显失公平。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写“违约方承担违约责任”，无具体违约金计算方式，守约方需自行举证实际损失，难度极大。约定的违约金过高（如日千分之一）可能被法院调低，过低则无法弥补损失。未约定合同解除的具体条件，无法及时止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《民法典》第五百七十七条：当事人一方不履行合同义务或者履行合同义务不符合约定的，应当承担继续履行、采取补救措施或者赔偿损失等违约责任。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《民法典》第五百八十五条：约定的违约金过分高于造成的损失的，人民法院或者仲裁机构可以根据当事人的请求予以适当减少。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量化违约责任：针对出卖人“逾期交货”、买受人“逾期付款”等主要违约情形，分别约定明确的违约金计算方式，例如“每逾期一日，按合同总价款的【万分之五】支付违约金”。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明确合同解除权：约定“任何一方逾期履行主要义务超过【30】日，经对方书面催告后【15】日内仍未改正的，守约方有权单方解除合同，并要求违约方承担违约责任。”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风险点十：争议解决方式约定无效或成本过高。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风险内容：约定“或裁或审”（既可仲裁也可诉讼），该仲裁协议无效。未约定管辖法院，则需到被告住所地或合同履行地起诉，若双方异地，将极大增加维权成本。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明确选择唯一的争议解决方式：在“诉讼”和“仲裁”中二选一。若选择仲裁，必须明确、唯一地指定仲裁机构，例如“提交【北京仲裁委员会】按其仲裁规则进行仲裁”。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约定对己方有利的管辖法院：作为出卖人，可争取约定“由【出卖人所在地】人民法院管辖”；作为买受人，可争取约定“由【合同履行地（即货物交付地）】人民法院管辖”。此约定需符合《民事诉讼法》的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第六部分：官方信息查询与风险核查渠道汇总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在交易全过程中，企业应充分利用以下官方平台对交易对手进行尽职调查与风险监控：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国家企业信用信息公示系统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查询机构：国家市场监督管理总局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核心用途：核查企业的工商注册信息、法定代表人、股东、经营范围、行政处罚、是否被列入经营异常名录或严重违法失信企业名单。这是签约前最基本、最重要的资信调查工具。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中国执行信息公开网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查询机构：中华人民共和国最高人民法院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官方网址：http://zxgk.court.gov.cn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核心用途：查询企业及其法定代表人是否为“失信被执行人”（俗称“老赖”），评估其商业信誉与债务履行能力。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中国人民银行征信中心动产融资统一登记公示系统（中登网）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法律依据：《动产和权利担保统一登记办法》（中国人民银行令〔2021〕第7号）。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核心用途：查询动产抵押、应收账款质押、所有权保留、融资租赁等七大类担保物权登记信息。买受人可在此查询拟购货物上是否设有担保负担；出卖人可在此办理所有权保留登记以保护自身权益。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中国裁判文书网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查询机构：中华人民共和国最高人民法院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官方网址：https://wenshu.court.gov.cn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核心用途：查询交易对手涉及的历史诉讼案件，了解其涉诉频率、案由及结果，侧面评估其法律风险与经营风格。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核心建议：企业应将合同管理视为核心风控环节。建议由法务或专业律师参与重要合同的起草与审核，优先使用国家示范文本。在履约过程中，务必保留所有书面凭证（合同、订单、送货单、收货单、验收记录、付款凭证、往来函件），建立完整的合同档案。通过上述系统化的风险识别与防范措施，企业方能最大程度地保障交易安全，实现稳健经营。</w:t>
      </w:r>
    </w:p>
    <w:p w14:paraId="2131F969">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19. 销售 / 销售产品 / 销售产品</w:t>
      </w:r>
    </w:p>
    <w:p w14:paraId="5B824DA6">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《承揽合同》</w:t>
      </w:r>
    </w:p>
    <w:p w14:paraId="6BDF9FDF">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企业签订《加工承揽合同》全流程法律风险防范与合规操作指南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加工承揽合同是企业委托他方完成特定工作、交付定制化成果的重要法律形式，其核心在于工作成果的特定性、承揽人工作的独立性以及定作人对过程的有限干预。一份权责清晰的合同是保障定制需求得以满足、防范履约风险的关键。以下从定作人（委托方）与承揽人（加工方）双重视角，系统梳理签约与履约中的核心法律风险，并提供精细化、可操作的防范策略及法律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第一部分：合同效力、标的与主体资格审查的根本性风险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风险点一：合同性质混淆，误用买卖合同或劳务合同模板。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加工承揽合同的核心是“完成工作并交付成果”，其法律规则（如留置权、任意解除权、风险承担）与买卖合同、劳务合同有本质区别。若错误定性，将导致关键权利义务适用错误，例如定作人可能无法行使《民法典》第七百八十七条规定的任意解除权，或承揽人无法对工作成果行使留置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《中华人民共和国民法典》第七百七十条：“承揽合同是承揽人按照定作人的要求完成工作，交付工作成果，定作人支付报酬的合同。承揽包括加工、定作、修理、复制、测试、检验等工作。”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准确界定合同性质：在合同首部明确写明“本合同为加工承揽合同”。合同条款应围绕“工作成果的完成与交付”展开，明确体现承揽人需运用自身技术、设备和劳力完成工作的独立性。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使用专用合同文本：优先使用国家市场监督管理总局发布的《加工合同》或《定作合同》示范文本，避免使用通用的《买卖合同》模板。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风险点二：定作要求与技术标准约定模糊。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定作人对工作成果的功能、性能、材质、工艺等要求描述不清，仅以“按样品”、“按图纸”等笼统表述，但样品未封存、图纸不完整或存在歧义。这导致验收时缺乏客观依据，承揽人交付的成果可能不符合定作人真实预期，却因约定不明而难以追究其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《民法典》第七百七十一条：“承揽合同的内容一般包括承揽的标的、数量、质量、报酬、承揽方式、材料的提供、履行期限、验收标准和方法等条款。”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《民法典》第七百七十五条：“承揽人提供材料的，应当按照约定选用材料，并接受定作人检验。”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制定详尽的《技术规格书》或《定作要求清单》：作为合同核心附件，以可量化、可验证的语言描述工作成果的所有技术参数、功能指标、外观要求、使用材料品牌型号等。对于凭样品定作的，必须由双方共同签封样品，并拍照留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建立技术资料确认流程：约定承揽人根据定作要求完成的图纸、设计方案，必须提交定作人书面审核确认后方可投入生产。所有确认文件均为合同组成部分。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第二部分：原材料、设备与知识产权的核心风险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风险点三：原材料提供责任与质量风险分配不清。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合同未明确约定原材料由哪方提供。若由定作人提供，未约定其规格、数量、交付时间及不符合要求的后果；若由承揽人提供，未约定材料品牌、等级及检验程序。原材料质量直接决定工作成果质量，此环节的疏漏是重大质量纠纷的源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《民法典》第七百七十四条：“承揽人提供材料的，应当按照约定选用材料，并接受定作人检验。”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《民法典》第七百七十五条：“定作人提供材料的，应当按照约定提供材料。承揽人对定作人提供的材料应当及时检验，发现不符合约定时，应当及时通知定作人更换、补齐或者采取其他补救措施。”</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明确原材料提供方并制定细则：在合同中以专门条款明确原材料（包括主要辅料）的提供方。若由定作人提供，应附《供料清单》，约定交付时间、地点及承揽人检验期限（如到货后3日内）。若由承揽人提供，应附《用料清单》，约定品牌、产地、规格、质量等级，并赋予定作人抽检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约定材料不合格的处理机制：约定承揽人发现定作人提供的材料不合格时，有义务立即书面通知，定作人应在约定期限内更换。若因此延误工期，承揽人不承担责任。反之，若承揽人擅自使用不合格材料，应承担全部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风险点四：工作成果所涉知识产权归属与背景知识产权使用约定不明。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承揽人在履行合同中可能产生新的技术方案、设计图纸或软件代码。合同若未约定其知识产权归属，根据《民法典》第八百六十一条，归承揽人所有，定作人可能无法自由使用或改进该成果。同时，双方在履约中使用的自有技术（背景知识产权）可能被对方不当使用或泄露。</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《民法典》第八百六十一条：“委托开发或者合作开发完成的技术秘密成果的使用权、转让权以及利益的分配办法，由当事人约定；没有约定或者约定不明确…当事人均有使用和转让的权利…”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专利法》第八条：“两个以上单位或者个人合作完成的发明创造、一个单位或者个人接受其他单位或者个人委托所完成的发明创造，除另有协议的以外，申请专利的权利属于完成或者共同完成的单位或者个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明确约定“前景知识产权”归属：在合同中设立知识产权专章，明确约定履行本合同所产生的所有技术成果（前景知识产权）的归属。常见模式有：①归定作人所有，承揽人享有署名权；②归承揽人所有，授予定作人永久的、不可转让的免费使用许可；③双方共有，并约定行使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界定“背景知识产权”及使用限制：明确列出双方在合同签订前已拥有的、将用于本合同的知识产权，并约定其权利归属不变。任何一方仅可为履行本合同之目的使用对方的背景知识产权，合同终止后应立即停止使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设立保密条款：约定双方对在履约中知悉的对方技术资料、经营信息等商业秘密承担保密义务，并明确保密期限（如合同终止后5年）和违约责任。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第三部分：生产过程、验收与交付的风险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风险点五：定作人监督检验权与承揽人工作独立性的边界模糊。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定作人过度干预承揽人的具体生产活动，可能被认定为事实上的雇佣或指挥关系，从而对生产过程中的人身、财产损害承担责任。反之，若合同未赋予定作人必要的监督检验权，定作人无法及时发现并纠正承揽人的错误操作，可能导致最终成果完全不符合要求，造成更大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《民法典》第七百七十九条：“承揽人在工作期间，应当接受定作人必要的监督检验。定作人不得因监督检验妨碍承揽人的正常工作。”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合理约定监督检验权：在合同中约定定作人有权在合理时间提前通知后，进入承揽人工作场所对工作进度和质量进行抽查，但不得干扰正常生产秩序。对于关键工序，可约定“节点报验”制度，承揽人需在进入下一工序前通知定作人检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保留承揽人独立性：所有监督检验行为均应以书面记录（如《工序检验单》）形式确认，避免定作人人员直接指挥承揽人员工或设备。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风险点六：验收标准、程序与异议期限缺失。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风险内容：未约定明确的验收标准、方法、期限和程序。定作人可能无限期拖延验收，影响承揽人收款；或承揽人交付不合格成果后，定作人未在法定期限内提出异议，可能被视为验收合格。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《民法典》第七百八十条：“承揽人完成工作的，应当向定作人交付工作成果，并提交必要的技术资料和有关质量证明。定作人应当验收该工作成果。”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制定《验收规范》作为合同附件：详细规定验收的环境条件、检测工具、抽样方法、测试流程、合格判定标准等。对于复杂设备，可约定分阶段验收（出厂前测试、到货开箱检验、安装调试后最终验收）。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设定明确的验收期与“视为通过”条款：约定“定作人应在收到承揽人验收通知后【15】个工作日内组织验收。验收合格的，双方签署《验收合格证书》；验收不合格的，应出具书面异议通知。逾期未验收也未提出书面异议的，视为工作成果验收合格。”此条款对承揽人至关重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风险点七：工作成果交付前毁损、灭失的风险承担不明。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在交付之前，工作成果因不可抗力或意外事件毁损、灭失，风险由承揽人承担。但若定作人迟延受领或提供的材料有瑕疵，风险可能转移。合同未作约定，将按《民法典》第八百零四条处理，可能产生争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《民法典》第八百零四条：“承揽人应当妥善保管定作人提供的材料以及完成的工作成果，因保管不善造成毁损、灭失的，应当承担赔偿责任。”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八百零五条：“定作人提供的材料在承揽人占有期间毁损、灭失的风险，由承揽人承担，但不可抗力的除外。承揽人完成的工作成果在交付定作人之前毁损、灭失的风险，由承揽人承担，但毁损、灭失发生在定作人迟延受领后的，由定作人承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明确风险转移时点：在交付条款中约定“工作成果毁损、灭失的风险，在定作人于交付地点完成清点、签收《收货单》之前，由承揽人承担；自签收之后，风险转移给定作人。”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约定保险义务：对于价值高昂的工作成果，可约定由承揽人自费购买从生产完毕至交付完成期间的财产保险，并将定作人列为受益人。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第四部分：报酬支付、留置权与违约责任的救济风险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风险点八：报酬支付节点与定作人任意解除权成本约定不清。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报酬支付方式不合理，如“全部交付后一次性支付”，使承揽人垫资风险巨大。同时，定作人虽享有任意解除权（《民法典》第七百八十七条），但若合同未明确解除后已完工作报酬的计算方式和承揽人的损失赔偿范围，极易引发纠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《民法典》第七百八十二条：“定作人应当按照约定的期限支付报酬。对支付报酬的期限没有约定或者约定不明确…定作人应当在承揽人交付工作成果时支付；工作成果部分交付的，定作人应当相应支付。”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《民法典》第七百八十七条：“定作人在承揽人完成工作前可以随时解除合同，造成承揽人损失的，应当赔偿损失。”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设计与工作进度挂钩的付款节奏：例如：合同签订后支付20%预付款；主要原材料采购进场后支付30%；工作成果完成并经出厂前检验合格后支付40%；最终验收合格后支付10%尾款。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量化任意解除的赔偿责任：明确约定“定作人行使任意解除权时，应根据承揽人已完成的合格工作量，按合同约定单价结算并支付报酬。此外，定作人还应赔偿承揽人因合同解除而产生的直接损失，包括但不限于已采购专用材料的损失、已发生的人工费、以及合理的预期利润损失（例如，不超过合同总报酬的【20%】）。”</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风险点九：承揽人行使留置权的条件与程序不明。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定作人未支付报酬时，承揽人对完成的工作成果享有留置权。但若合同未约定行使留置权的具体条件（如付款逾期超过多少天）、通知程序以及处置方式，承揽人可能因操作不当构成侵权（如留置了不属于定作人的财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《民法典》第七百八十三条：“定作人未向承揽人支付报酬或者材料费等价款的，承揽人对完成的工作成果享有留置权或者有权拒绝交付，但是当事人另有约定的除外。”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在合同中明确留置权条款：约定“若定作人未按本合同约定支付任何一期到期款项，经承揽人书面催告后【15】日内仍未支付的，承揽人有权对所占有的、属于定作人的工作成果及剩余原材料行使留置权。”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约定留置后的处置程序：可进一步约定，留置后定作人仍不履行的，承揽人有权依法拍卖、变卖该财产，并就所得价款优先受偿，多退少补。此约定需符合《民法典》关于留置权实现的规定。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风险点十：质量保证期与保修责任约定缺失。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工作成果交付后，未约定质量保证期（或称“保修期”）。在法定或合理期限内出现质量问题，承揽人虽应负责，但若无明确期限，定作人可能在很长时间后提出维修要求，增加承揽人不可预见的成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明确约定质量保证期：根据工作成果的性质，约定合理的质量保证期，如“自最终验收合格之日起【12】个月”。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界定保修范围与响应机制：约定保修期内，因承揽人原因导致的工作成果材料或工艺缺陷，由承揽人负责免费修复。同时约定承揽人接到通知后的响应时间（如48小时内）和修复时限。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第五部分：官方信息查询与担保登记渠道汇总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在交易全过程中，企业应充分利用以下官方平台对交易对手进行尽职调查，并对相关担保权益进行登记公示：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国家企业信用信息公示系统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查询机构：国家市场监督管理总局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核心用途：核查企业的工商注册信息、法定代表人、股东、经营范围、行政处罚、是否被列入经营异常名录或严重违法失信企业名单。这是签约前最基本的资信调查工具。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中国执行信息公开网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查询机构：中华人民共和国最高人民法院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官方网址：http://zxgk.court.gov.cn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核心用途：查询企业及其法定代表人是否为“失信被执行人”，评估其商业信誉与债务履行能力。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中国人民银行征信中心动产融资统一登记公示系统（中登网）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法律依据：《动产和权利担保统一登记办法》（中国人民银行令〔2021〕第7号）。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办理和查询动产抵押、所有权保留等担保登记。在加工承揽合同中，若定作人提供高价值原材料并希望保留所有权，或承揽人以其设备为定作人设定抵押以获取预付款，均应在此系统办理登记，以取得对抗第三人的法律效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中国裁判文书网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查询机构：中华人民共和国最高人民法院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官方网址：https://wenshu.court.gov.cn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核心用途：查询交易对手涉及的历史诉讼案件，了解其涉诉情况。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核心建议：加工承揽合同兼具“定制”与“合作”双重属性。定作人应重点防范“成果不符合预期”的风险，通过详尽的技术附件和过程监督来实现；承揽人应重点防范“垫资亏损”和“报酬难收”的风险，通过合理的付款节奏和明确的留置权条款来保障。双方均需高度重视知识产权归属与保密义务的约定。建议在合同中明确区分各阶段的权利义务，并保留所有履约过程中的书面凭证。通过上述系统化的风险防范，方能确保定制化生产活动的顺利进行，实现合作共赢。</w:t>
      </w:r>
    </w:p>
    <w:p w14:paraId="334ACFBA">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20. 税收与费用 / 管理费用、销售费用、制造费用、研发费用、项目费用 / 管理费用、销售费用、制造费用、研发费用、项目费用</w:t>
      </w:r>
    </w:p>
    <w:p w14:paraId="1BF1E993">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《社会保险费》</w:t>
      </w:r>
    </w:p>
    <w:p w14:paraId="08CC53F5">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企业社会保险与城乡居民养老保险缴纳全流程操作指南、风险防范与合规管理手册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为企业及个人提供一套全面、系统、可操作的社会保险（以下简称“社保”）与城乡居民基本养老保险缴纳实务指引。内容涵盖现行政策框架、不同用工形式下的缴纳要求、精确的计算方法、险种区别与免征减征流程，并附有明确的法律法规依据。企业应以此为基础，建立规范的社保管理制度，确保合规经营，防范法律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第一部分：社会保险缴纳基本框架与核心原则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一、险种构成与法律强制性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我国现行社会保险体系主要分为面向企业职工的“职工社会保险”和面向非从业居民的“城乡居民社会保险”。企业用工主要涉及职工社保，其法定险种为“五险”，包括基本养老保险、基本医疗保险、失业保险、工伤保险和生育保险。根据《中华人民共和国社会保险法》第五十八条、第六十条，用人单位自用工之日起三十日内必须为其职工向社会保险经办机构申请办理社会保险登记，并按时足额缴纳社会保险费。这是法定的强制性义务，任何形式的“自愿放弃社保协议”或商业保险替代均属无效，企业将承担补缴、滞纳金、罚款乃至支付经济补偿金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二、缴费基数核定原则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缴费基数是计算社保费的基准，其核定遵循以下核心原则：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职工个人缴费基数：以上一年度（自然年度）本人月平均工资性收入为准。工资性收入包括计时工资、计件工资、奖金、津贴补贴、加班加点工资等。新入职员工以起薪当月全月工资作为当年缴费基数。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单位缴费基数：为本单位全部职工个人缴费基数之和。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上下限限制：个人缴费基数需在所在地公布的缴费基数下限和上限之间。工资低于下限的，按下限申报；高于上限的，按上限申报。上下限通常按全省/市上年度城镇单位就业人员全口径平均工资的百分之六十和百分之三百确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三、各险种缴费比例说明（以广东省普遍标准为例的文字描述）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各险种缴费由单位和个人按法定比例共同承担，其中工伤保险和生育保险仅由单位缴纳。具体比例如下：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基本养老保险：单位缴费比例一般为百分之十六，个人缴费比例为百分之八。单位缴纳部分进入社会统筹基金，个人缴纳部分全部记入个人账户。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基本医疗保险（含生育保险）：单位缴费比例根据各地市政策有所不同，通常在百分之六点二左右浮动，个人缴费比例为百分之二。个人缴费全部进入个人账户，单位缴费部分用于建立统筹基金。生育保险基金已合并入职工基本医疗保险基金，不再单独征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失业保险：单位缴费比例一般为百分之零点八，个人缴费比例为百分之零点二，合计费率为百分之一。具体费率可能根据国家阶段性政策浮动。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工伤保险：单位缴费比例根据行业风险类别实行差别费率和浮动费率，一般在百分之零点二至百分之一点九之间浮动，个人不缴费。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政策依据：《中华人民共和国社会保险法》第十条、第二十三条、第三十三条、第四十四条、第五十三条；《广东省职工生育保险规定》及各地市医保政策。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第二部分：不同用工形式下的社保缴纳具体要求与操作指引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企业必须根据真实的用工法律关系，确定相应的社保缴纳义务。判断的核心是是否存在劳动关系。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一、全日制劳动关系（标准用工）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认定标准：劳动者与用人单位签订书面劳动合同，接受用人单位管理，从事有报酬的劳动，且提供的劳动是用人单位业务的组成部分。通常每日工作不超过八小时，每周不超过四十小时。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社保缴纳要求：必须依法足额缴纳全部“五险”。这是最完整、无豁免的缴纳义务。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操作指引：入职三十日内办理增员和社保登记。基数按上述原则核定。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二、非全日制用工关系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认定标准：依据《中华人民共和国劳动合同法》第六十八条，以小时计酬为主，劳动者在同一用人单位一般平均每日工作时间不超过四小时，每周工作时间累计不超过二十四小时。可以订立口头协议。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社保缴纳要求：用人单位必须为其缴纳工伤保险。对于养老、医疗、失业保险，用人单位无强制缴纳义务，但劳动者可以按灵活就业人员身份自愿参加职工养老保险和医疗保险，或参加城乡居民养老保险和医疗保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操作指引：建议签订《非全日制用工协议》，明确工作内容、时长、计酬标准及“仅为乙方缴纳工伤保险”的条款。务必严格控制工作时间，超时可能被认定为全日制劳动关系。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三、劳务派遣用工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法律关系：存在三方主体。劳务派遣单位与劳动者建立劳动关系，用工单位与劳动者是用工关系。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社保缴纳责任方：劳务派遣单位作为用人单位，负责与被派遣劳动者签订劳动合同，并为其缴纳全部“五险”。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操作指引：用工单位需与具备资质的派遣单位签订《劳务派遣协议》，明确约定社保责任。用工单位需监督派遣单位履行义务，并注意使用岗位和比例符合“三性岗位”及不超过百分之十的限制。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四、无需或免于缴纳职工社保的特定情形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以下情形，企业无需承担职工社保缴纳义务：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退休返聘人员：劳动者已开始依法享受基本养老保险待遇，双方构成劳务关系。企业无需缴纳社保，但建议购买商业意外险。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在校实习生：学生以学习为目的实习，不构成劳动关系。企业无需缴纳社保，但部分地区政策可能要求购买特定保险，需以当地规定为准。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兼职人员（已有全职单位）：劳动者已与一家单位建立全日制劳动关系并缴纳社保。兼职单位无需重复缴纳社保，报酬按“劳务报酬”项目计税。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个体承包经营者：个人登记为个体工商户，双方为商业合作关系。个体户自行负责其社保。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第三部分：职工基本养老保险与城乡居民基本养老保险详解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一、职工基本养老保险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适用人群：与企业、机关事业单位建立劳动关系的职工，以及无雇工的个体工商户、未在用人单位参保的非全日制从业人员等灵活就业人员（可自愿以灵活就业身份参保）。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缴费机制：强制性与共济性。由单位和个人共同缴费，缴费标准与本人工资水平挂钩，实行社会统筹与个人账户相结合。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计费明细规则：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缴费基数：有上下限，与社平工资挂钩。如前所述，2025年广东省企业职工缴费基数下限为4775元/月，上限为27549元/月。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缴费比例：如前文“缴费比例说明”部分所述，单位与个人按固定比例缴纳。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待遇计算：养老金由基础养老金和个人账户养老金组成，计算复杂，与缴费年限、缴费基数、个人账户累计额及退休时社平工资直接相关，体现“多缴多得、长缴多得”。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二、城乡居民基本养老保险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适用人群：年满16周岁（不含在校学生），非国家机关和事业单位工作人员及不属于职工基本养老保险制度覆盖范围的城乡居民，可以在户籍地自愿参加。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缴费机制：自愿性与普惠性。实行个人缴费、集体补助、政府补贴相结合的模式。缴费档次由各地设定，参保人自主选择。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计费明细规则：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缴费标准：各省市设定多个缴费档次。例如，某地可能设定每年200元、300元、500元、1000元、2000元、3000元等多个档次。个人按年缴费。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政府补贴：对应不同的缴费档次，地方政府会给予不同程度的缴费补贴，补贴直接计入个人账户。例如，缴200元补30元，缴3000元补200元。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待遇计算：城乡居民养老金 = 基础养老金 + 个人账户养老金。其中，基础养老金完全由政府财政支付，标准由国家确定最低标准，各地可提高。个人账户养老金 = 个人账户全部储存额（个人缴费+政府补贴+集体补助+利息）÷ 139。</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三、主要区别与联系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主要区别：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参保性质：职工养老保险具有强制性（对单位而言）；居民养老保险是自愿性。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适用对象：职工养老保险面向有劳动关系的就业人群；居民养老保险面向非从业居民。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缴费方式与标准：职工养老按月缴费，标准高，与工资挂钩；居民养老按年缴费，标准低，为固定档次。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筹资来源：职工养老主要由单位和个人共担；居民养老主要由个人缴费和政府补贴构成。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待遇水平：职工养老金的计算方式使其待遇水平普遍远高于居民养老金。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内在联系：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制度衔接：根据《城乡养老保险制度衔接暂行办法》（人社部发〔2014〕17号），两种制度可以相互衔接转移。个人不得同时领取两份待遇。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共同构成体系：二者共同构成了覆盖全体公民的基本养老保险制度网络，实现“老有所养”的目标。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第四部分：社会保险费计算、操作步骤与免征减征流程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一、职工社保计算步骤示例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以中山市2025年标准，某职工月缴费基数6000元为例：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养老保险：单位部分为6000元乘以百分之十六等于960元；个人部分为6000元乘以百分之八等于480元。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医疗保险：单位部分为6000元乘以百分之六点二等于372元；个人部分为6000元乘以百分之二等于120元。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失业保险：单位部分为6000元乘以百分之零点八等于48元；个人部分为6000元乘以百分之零点二等于12元。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工伤保险：单位部分为6000元乘以百分之零点四（假设费率）等于24元。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汇总：单位每月为该职工承担1404元，个人缴纳612元，合计2016元。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操作流程：每月通过广东省电子税务局等官方平台申报缴费。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二、免征、减征政策与审批管理流程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现行的社保费减免政策主要为阶段性、响应特定经济形势的政策，如以往的阶段性减免企业社保费政策。目前常见的支持形式包括：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稳岗返还：对不裁员少裁员的参保企业，返还上年度实际缴纳失业保险费的一定比例（如百分之五十）。这属于“先缴后返”。</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社保补贴：企业招用特定群体（如就业困难人员），可申请单位缴费部分的补贴。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阶段性降低费率：国家可能出台阶段性降低失业、工伤保险费率的政策。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审批管理流程趋向“免申即享”。政府部门通过大数据比对确定符合条件的企业名单，企业在申报时自动享受优惠。对于需主动申请的补贴，则需按当地人社部门指引线上提交材料。企业务必以国家税务总局广东省税务局、广东省人力资源和社会保障厅发布的最新官方文件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第五部分：官方信息查询与咨询渠道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为确保信息的准确性与时效性，应优先通过以下官方渠道：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国家税务总局广东省税务局：发布最新征缴政策，办理申报缴费。网址：http://guangdong.chinatax.gov.cn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广东省人力资源和社会保障厅：发布养老、失业、工伤保险政策。网址：http://hrss.gd.gov.cn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广东省医疗保障局：发布医疗、生育保险政策。网址：http://hsa.gd.gov.cn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全国统一咨询服务热线：税务服务12366，人社服务12333。</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建议：社保合规是企业经营的基石。企业应：第一，准确认定用工性质，依法履行相应义务；第二，按时足额申报缴费；第三，动态关注政策变化，充分利用官方渠道。为灵活用工或非全日制人员提供参保指引时，需清晰说明其可自愿参加职工养老（灵活就业）或居民养老的渠道与区别。建立规范的用工与社保管理内控流程，是防范风险、保障权益、促进发展的长远之计。</w:t>
      </w:r>
    </w:p>
    <w:p w14:paraId="5324EABF">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21. 税收与费用 / 管理费用、销售费用、制造费用、研发费用、项目费用 / 管理费用、销售费用、制造费用、研发费用、项目费用</w:t>
      </w:r>
    </w:p>
    <w:p w14:paraId="0333875C">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《住房公积金》</w:t>
      </w:r>
    </w:p>
    <w:p w14:paraId="3A413291">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住房公积金缴纳全流程操作指南、风险防范与合规管理手册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为企业及个人提供一套全面、系统、可操作的住房公积金（以下简称“公积金”）缴纳实务指引。内容涵盖现行政策框架、缴纳标准细则、精确的计算方法、特殊人群规定、降低比例或缓缴的审批流程，并附有明确的法律法规依据。企业应以此为基础，建立规范的公积金管理制度，确保合规经营，防范法律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第一部分：住房公积金缴纳基本框架与核心原则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一、制度性质与法律强制性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住房公积金是指国家机关、国有企业、城镇集体企业、外商投资企业、城镇私营企业及其他城镇企业、事业单位、民办非企业单位、社会团体（以下统称单位）及其在职职工缴存的长期住房储金。根据《住房公积金管理条例》（国务院令第350号，以下简称《条例》）第二条、第十三条、第十五条、第二十条的规定，单位录用职工后，必须自录用之日起30日内到住房公积金管理中心办理缴存登记，并为职工设立账户。单位应当按时、足额缴存住房公积金，不得逾期缴存或者少缴。为职工缴存公积金是单位的法定义务，任何与职工签订的“自愿放弃”协议均属无效，单位将面临责令限期缴存、罚款乃至申请法院强制执行的法律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二、缴存基数核定原则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缴存基数是计算公积金月缴存额的基准，其核定遵循以下核心原则，依据《条例》第十六条及《关于住房公积金管理若干具体问题的指导意见》（建金管〔2005〕5号）第三条的规定：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基本原则：职工住房公积金的月缴存额为职工本人上一年度月平均工资乘以职工住房公积金缴存比例。单位为职工缴存的住房公积金月缴存额为职工本人上一年度月平均工资乘以单位住房公积金缴存比例。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工资总额组成：月平均工资应按国家统计局《关于工资总额组成的规定》（国家统计局令第1号）计算，包括计时工资、计件工资、奖金、津贴和补贴、加班加点工资、特殊情况下支付的工资。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新职工基数：新参加工作的职工从参加工作的第二个月开始缴存，月缴存额为职工本人当月工资乘以缴存比例。单位新调入的职工从调入单位发放工资之日起缴存，月缴存额为职工本人当月工资乘以缴存比例。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基数上下限：缴存基数设有上下限。上限原则上不应超过职工工作地所在设区城市统计部门公布的上一年度职工月平均工资的2倍或3倍，具体倍数由各城市确定。下限一般不低于当地人民政府规定的最低工资标准。每年住房公积金年度（通常为当年7月1日至次年6月30日）开始时，各地会公布新的上下限标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三、缴存比例确定原则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根据《条例》第十八条及《关于住房公积金管理若干具体问题的指导意见》第二条的规定：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单位和职工住房公积金缴存比例均不应低于5%，原则上不高于12%。具体缴存比例由各设区城市的住房公积金管理委员会拟订，经本级人民政府审核后，报省、自治区、直辖市人民政府批准。单位可在当地规定的区间内自主选择确定一个缴存比例，单位和职工的缴存比例一般应一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第二部分：月缴存额计算步骤与操作示例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一、计算公式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职工个人月缴存额 = 缴存基数 × 个人缴存比例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单位月缴存额 = 缴存基数 × 单位缴存比例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职工公积金账户每月入账总额 = 个人月缴存额 + 单位月缴存额 = 缴存基数 × (个人缴存比例 + 单位缴存比例)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二、计算步骤示例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假设广州市2025住房公积金年度（2025年7月-2026年6月）缴存基数上限为33820元，下限为2300元。某单位确定的缴存比例为12%（单位和个人各12%）。职工情况如下：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职工A：2024年月平均工资为28000元，该数额在上下限之间，则其2025年度缴存基数确认为28000元。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个人月缴存额 = 28000元 × 12% = 3360元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单位月缴存额 = 28000元 × 12% = 3360元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每月入账总额 = 3360元 + 3360元 = 6720元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职工B：2024年月平均工资为20000元，该数额在上下限之间，则其2025年度缴存基数确认为20000元。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个人月缴存额 = 20000元 × 12% = 2400元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单位月缴存额 = 20000元 × 12% = 2400元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每月入账总额 = 2400元 + 2400元 = 4800元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职工C（新入职）：2025年8月入职，首月工资为5000元。其2025年度缴存基数按首月工资确认为5000元（假设不低于下限）。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个人月缴存额 = 5000元 × 12% = 600元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单位月缴存额 = 5000元 × 12% = 600元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每月入账总额 = 600元 + 600元 = 1200元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职工D：2024年月平均工资为40000元，超过上限33820元，则其2025年度缴存基数按上限确认为33820元。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个人月缴存额 = 33820元 × 12% = 4058.4元（四舍五入后为4058元）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单位月缴存额 = 33820元 × 12% = 4058.4元（四舍五入后为4058元）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每月入账总额 = 4058元 + 4058元 = 8116元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三、操作流程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开户登记：新设立单位或新录用职工，在规定时限内通过线上平台或线下柜台办理登记和账户设立。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年度基数调整：每年住房公积金年度开始前（通常6-7月），单位需为职工申报新的缴存基数。通过登录所在地公积金中心网上办事大厅，上传或直接填报《住房公积金缴存基数调整清册》。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月度汇缴：单位每月发放工资后，在规定的缴存日内（通常为发放工资之日起5日内），通过网上办事大厅、企业网银或委托收款等方式，将单位和个人应缴的公积金总额汇缴至公积金中心专户。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第三部分：特殊人群的公积金缴存规定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一、城镇个体工商户、自由职业人员等灵活就业人员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根据《关于住房公积金管理若干具体问题的指导意见》第一条，这类人群可申请缴存住房公积金，属于自愿参加。月缴存额的工资基数按照缴存人上一年度月平均纳税收入计算，也可在所在地公布的缴存基数上下限之间自行选择。缴存比例由个人在5%-12%之间确定，不区分单位和个人部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二、劳务派遣职工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劳务派遣单位作为用人单位，负有为其派遣职工缴存住房公积金的法定义务。缴存基数和比例按上述统一规定执行。用工单位应在《劳务派遣协议》中明确相关费用的承担方式。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三、外籍及港澳台人员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根据《关于在内地（大陆）就业的港澳台同胞享有住房公积金待遇有关问题的意见》等政策，已与用人单位建立劳动关系的港澳台同胞及持有《外国人工作许可证》等合法证件的外籍人员，用人单位应为其缴存住房公积金。缴存和提取使用政策与内地（大陆）职工一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第四部分：降低缴存比例或缓缴的免征条件与审批管理流程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一、政策依据与适用条件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根据《条例》第二十条及《关于住房公积金管理若干具体问题的指导意见》第四条的规定，对缴存住房公积金确有困难的单位，经法定程序批准后，可以降低缴存比例或者缓缴。困难单位通常指连续亏损、停业半停业、职工月平均工资低于当地最低工资标准等经营状况严重不佳的单位。注意：此为非永久性政策，待单位经济效益好转后，应提高缴存比例或者补缴缓缴部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二、审批管理详细步骤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内部民主决议：单位必须首先经本单位职工代表大会或者工会讨论通过。未经此程序，管理中心不得受理。单位需形成书面决议文件。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准备申请材料：一般包括：《单位降低住房公积金缴存比例（或缓缴）申请表》；单位财务报表（如损益表）、工资发放表等证明经营困难的材料；职工代表大会或工会同意降比或缓缴的决议文件；单位补缴承诺书等。具体材料清单以当地公积金中心要求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提交申请：单位向住房公积金管理中心提交上述申请材料。目前多数地区支持通过公积金中心网上办事大厅线上提交。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中心审核与管委会批准：住房公积金管理中心对申请材料进行审核，并提出审核意见。审核通过后，报本市的住房公积金管理委员会最终批准。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批复与执行：单位获得批准文件后，按批准的比例或缓缴期限执行。缓缴期间，单位应正常为职工办理账户封存、转移等手续。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期满恢复与补缴：批准期限届满或单位经济效益好转后，单位应自动恢复至正常比例缴存，并按规定补缴缓缴期间的住房公积金。补缴方案也需经职工代表大会或工会同意。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第五部分：官方信息查询、办理平台与咨询渠道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为确保信息的准确性与时效性，办理相关业务应优先通过以下官方渠道：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一、全国性统一服务平台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全国住房公积金小程序：由住房和城乡建设部监管司指导建设，提供全国统一的公积金信息查询、异地转移接续等服务。可通过微信、支付宝等平台搜索进入。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全国住房公积金监管服务平台：各级公积金管理机构用于业务统计和监管的内部平台，企业办理人员通常通过本地化网厅接入。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二、地方性核心办理平台（以广东省及中山市为例）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广东省统一身份认证平台：作为登录省内各市公积金网上办事大厅的入口。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中山市住房公积金管理中心网上办事大厅：企业办理缴存登记、人员增减、基数调整、汇缴补缴等所有核心业务的官方平台。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官方网址：通常为 http://zszfgjj.zs.gov.cn 或类似域名，请以“中山市住房公积金管理中心”官网公布为准。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功能：单位开户、职工账户管理、缴存业务、信息查询、表格下载等全流程线上办理。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各市住房公积金管理中心官方网站：发布最新政策、通知公告、办事指南、常见问题解答及提供网上办事大厅入口。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三、咨询与投诉渠道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全国住房公积金热线：12329。提供政策咨询、账户查询、投诉建议等服务。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各市公积金中心服务热线：可在其官网查找。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线下服务网点：各市公积金中心及下设的管理部、办事处。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核心建议：住房公积金是职工重要的法定住房储金，单位依法足额缴存是刚性责任。企业应：第一，准确核定基数与比例，在每年基数调整期及时合规申报；第二，按时足额汇缴，避免产生滞纳金和行政处罚；第三，确属困难需降比或缓缴时，严格履行民主程序和审批流程，不得擅自不缴；第四，充分利用线上官方平台，提高办理效率并确保信息准确。为灵活就业人员提供参保指引时，需说明其自愿缴存的政策。建立规范的公积金管理内控流程，是维护职工权益、防范法律风险、构建和谐劳动关系的必要举措。</w:t>
      </w:r>
    </w:p>
    <w:p w14:paraId="37D1756C">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22. 税收与费用 / 管理费用、销售费用、制造费用、研发费用、项目费用 / 管理费用、销售费用、制造费用、研发费用、项目费用</w:t>
      </w:r>
    </w:p>
    <w:p w14:paraId="0B7993D5">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《残废人保障金》</w:t>
      </w:r>
    </w:p>
    <w:p w14:paraId="2896048D">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现行残疾人就业保障金缴纳标准细则、计算方法、免征条件及审批管理全流程详解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一、核心政策依据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《残疾人就业保障金征收使用管理办法》（财税〔2015〕72号）：确立了残保金征收、使用和管理的基本框架。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《关于延续实施残疾人就业保障金优惠政策的公告》（财政部公告2023年第8号）：明确规定了2023年1月1日至2027年12月31日期间的分档减缴和免征政策，是当前执行的核心优惠依据。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《促进残疾人就业三年行动方案（2025—2027年）》（国办发〔2025〕23号）：作为国家层面的指导文件，进一步强调了促进残疾人就业和优化残保金制度的总体方向。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地方性实施办法：各省、自治区、直辖市根据国家政策制定具体细则，例如广东省的《广东省残疾人就业保障金征收使用管理实施办法》（粤财社〔2017〕51号）。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二、缴纳标准与详细计算方法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基本计算公式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根据国家统一规定，残保金年缴纳额按以下公式计算：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保障金年缴纳额 = (上年用人单位在职职工人数 × 所在地规定比例 - 上年用人单位实际安排的残疾人就业人数) × 上年用人单位在职职工年平均工资。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公式核心要素详解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规定比例：由各省、自治区、直辖市人民政府规定，通常为1.5%。例如，广东省、河北省、重庆市等均执行1.5%的比例。特殊地区如深圳市规定比例为0.5%。</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上年用人单位在职职工人数：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定义：指与单位签订1年以上（含）劳动合同（服务协议）的在编人员或聘用人员。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计算方式：用人单位上年全年各月在职职工人数之和 ÷ 12个月（取月平均值）。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特殊情形处理：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季节性用工：应折算为年平均用工人数。公式为：季节性用工人数 × 季节性用工月数 ÷ 12。</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劳务派遣人员：计入派遣单位的在职职工人数。若接受单位通过劳务派遣方式安排残疾人就业，需由派遣单位和接受单位签订协议，明确将残疾人数计入其中一方，不得重复计算。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上年用人单位实际安排的残疾人就业人数：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认定标准：必须经用人单位所在地的残疾人就业服务机构通过“全国残疾人按比例就业情况联网认证系统”审核确认。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计入条件：残疾人职工必须被录用为在编人员或签订1年以上劳动合同，实际支付的工资不低于当地最低工资标准，并足额缴纳社会保险费。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特殊激励：安排1名持有《残疾人证》（1至2级）或《残疾军人证》（1至3级）的人员就业的，按照安排2名残疾人就业计算。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上年用人单位在职职工年平均工资：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计算方式：上年用人单位在职职工工资总额 ÷ 上年用人单位在职职工人数。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工资总额口径：按照国家统计局规定，包括计时工资、计件工资、奖金、津贴补贴、加班加点工资等。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征收标准上限（重要）：为减轻用人单位负担，政策规定残保金征收标准上限按当地社会平均工资的2倍执行。即，如果计算出的年平均工资超过当地社平工资2倍，则按2倍社平工资计算应缴费额。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分档减缴计算规则（2023-2027年）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在计算出上述基本应缴费额后，根据财政部2023年第8号公告，按以下规则享受减缴优惠：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减缴50%：用人单位安排残疾人就业比例达到1%（含）以上，但未达到所在地规定比例（如1.5%）的。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减缴90%：用人单位安排残疾人就业比例在1%以下的。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最终实缴额 = 计算出的应缴费额 × (1 - 减缴比例)。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计算示例：广州某企业2024年在职职工月平均人数为100人，年平均工资为20万元，未安排残疾人就业。当地社平工资2倍为15万元。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应安排残疾人数 = 100人 × 1.5% = 1.5人。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因年平均工资20万 &gt; 上限15万，故按15万计算：应缴费额 = (1.5人 - 0人) × 150,000元 = 225,000元。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安置比例为0%（&lt;1%），适用90%减缴，最终实缴额 = 225,000元 × 10% = 22,500元。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三、缴纳步骤与操作流程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残保金征收采用“残联审核、税务征收”模式，流程分为两个关键阶段。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第一阶段：残疾人就业情况申报（年审）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适用对象：上年度已安排残疾人就业的用人单位。未安排残疾人的单位无需此步骤，但需完成第二阶段申报。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办理时间：通常为每年3月1日至10月31日（具体时间以各地残联通告为准，如河北省为3月1日至10月31日）。务必在截止日期前完成，逾期视为未安排残疾人就业。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办理途径：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线上办理（推荐）：登录“全国残疾人按比例就业情况联网认证系统”在线申报。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线下办理：到所在地残疾人就业服务机构指定的服务窗口申报。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所需材料：通常包括《用人单位安排残疾人就业情况申报表》、残疾人职工的《残疾人证》或《残疾军人证》复印件、劳动合同复印件、社保缴费证明、工资支付凭证等。系统能数据比对成功的，可免于提交纸质材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第二阶段：残保金申报缴纳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办理时间：通常为每年7月1日至11月30日之间，设有集中征期。例如，河北省为7月1日至9月30日，广东省为8月1日至11月30日。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办理途径：通过所在地的电子税务局在线办理，或前往办税服务厅办理。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电子税务局操作指引：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登录电子税务局，在首页搜索框搜索“残疾人就业保障金申报”，或通过“我要办税 → 税费申报及缴纳 → 非税收入申报”找到申报入口。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进入申报界面，系统会自动预填由残联交换过来的“上年实际安排残疾人就业人数”。用人单位需核对并如实填报“上年在职职工工资总额”和“上年在职职工人数”。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系统会根据填报数据自动计算应缴费额，并自动识别并应用“30人以下企业免征”和“分档减缴”优惠政策，生成最终应补（退）费额。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核对所有信息无误后，提交申报。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申报完成后，在系统内完成税费缴纳，支持三方协议、银联、微信、支付宝等多种支付方式。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获取凭证：缴款成功后，可在电子税务局“证明开具”模块或前往办税服务厅开具《税收完税证明》。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四、免征条件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小微企业免征：在职职工总数30人（含）以下的企业，自2023年1月1日至2027年12月31日，继续免征残保金。申报时系统自动判断，无需额外申请。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按比例安置免征：用人单位安排残疾人就业比例达到或超过所在地规定比例（如1.5%）的，全额免征残保金。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五、缓缴、减缴、免缴的审批管理步骤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此处指因特殊困难，超出上述政策性免征之外的缓缴、减缴或免缴申请。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申请条件：用人单位遇不可抗力自然灾害、连续两年亏损、破产或其他突发事件遭受重大直接经济损失。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申请时间：应在残联规定的申报年审期内提出申请。未在规定时限内申请的，视为无办理需求。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审批机关：向主管税务机关所在地的同级财政部门和残疾人联合会提交申请。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申请材料：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《减免缓缴残疾人就业保障金申请表》及书面申请报告。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xml:space="preserve">◦ </w:t>
      </w:r>
      <w:r>
        <w:rPr>
          <w:rStyle w:val="20"/>
          <w:rFonts w:hint="default" w:ascii="serif" w:hAnsi="serif" w:eastAsia="serif" w:cs="serif"/>
          <w:color w:val="333333"/>
          <w:sz w:val="24"/>
          <w:szCs w:val="24"/>
          <w:bdr w:val="none" w:color="auto" w:sz="0" w:space="0"/>
        </w:rPr>
        <w:t/>
      </w:r>
      <w:r>
        <w:rPr>
          <w:rStyle w:val="20"/>
          <w:rFonts w:hint="default" w:ascii="serif" w:hAnsi="serif" w:eastAsia="serif" w:cs="serif"/>
          <w:color w:val="333333"/>
          <w:sz w:val="24"/>
          <w:szCs w:val="24"/>
          <w:bdr w:val="none" w:color="auto" w:sz="0" w:space="0"/>
        </w:rPr>
        <w:t>重大经济损失的有效证明材料（如审计报告、保险理赔文件、政府部门证明等）。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上年度财务会计报告（或审计报告）。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用人单位对社会保险缴纳、工资支付等情况真实性的承诺书。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审批权限与额度：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缓缴：期限最长不得超过6个月。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减缴：数额不得超过1年的应缴额。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免缴：已进入破产程序或已办理歇业手续的用人单位可申请。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结果执行：审批通过后，相关部门将结果传递至税务机关，用人单位按批复结果执行。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六、重要注意事项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数据真实性与责任：用人单位对申报的“在职职工人数”、“工资总额”等数据的真实性和合法性承担全部责任。这些数据通常以个人所得税扣缴申报和社保申报数据为重要依据。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年审是缴费前置条件：凡安排了残疾人就业的单位，必须先完成残联的年审，确认残疾人数。否则，税务系统无法获取有效安置数据，将按未安置处理。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滞纳金规定：用人单位未按规定期限缴纳残保金的，自欠缴之日起，按日加收5‰的滞纳金。滞纳金总额不超过欠缴费额本身。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政策时效性：当前适用的分档减缴和小微企业免征政策执行期限至2027年12月31日。后续政策需关注财政部等部门的最新公告。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地方差异：具体申报起止时间、办理系统界面、材料细节可能因省市而异。操作前，请务必通过当地税务局官网、12366纳税服务热线或当地残联官网核实最新本地化要求。</w:t>
      </w:r>
    </w:p>
    <w:p w14:paraId="4EF1319C">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23. 税收与费用 / 管理费用、销售费用、制造费用、研发费用、项目费用 / 管理费用、销售费用、制造费用、研发费用、项目费用</w:t>
      </w:r>
    </w:p>
    <w:p w14:paraId="6FA38B30">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《工会经费》</w:t>
      </w:r>
    </w:p>
    <w:p w14:paraId="03B90EA8">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工会经费缴纳全流程操作指南、风险防范与合规管理手册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为企业及单位提供一套全面、系统、可操作的工会经费（含工会筹备金）缴纳实务指引。内容涵盖现行政策框架、缴纳标准细则、精确的计算方法、免征减征及返还条件、审批管理流程，并附有明确的法律法规依据。单位应以此为基础，建立规范的工会经费管理制度，确保合规履行法定义务，防范法律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第一部分：工会经费缴纳基本框架与法律强制性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一、制度性质与法律依据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工会经费是工会组织开展活动、履行维护职工合法权益基本职责的专项费用。其缴纳具有法定强制性，主要依据以下法律法规：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《中华人民共和国工会法》（以下简称《工会法》）：是工会经费拨缴的根本大法。其中第四十二条明确规定：“建立工会组织的企业、事业单位、机关按每月全部职工工资总额的百分之二向工会拨缴经费。”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基层工会经费收支管理办法》（总工办发〔2017〕32号发布，2025年修订）：具体规定了工会经费的收入范围、支出标准和管理原则。其第四条明确，拨缴经费收入是指建立工会组织的单位按全部职工工资总额百分之二依法向工会拨缴的经费中的留成部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国家税务总局相关规定：企业拨缴的工会经费，凭合法凭证（工会经费收入专用收据或税务代收凭证）在计算企业所得税应纳税所得额时，按不超过工资、薪金总额百分之二的部分准予扣除。依据为《中华人民共和国企业所得税法实施条例》第四十一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二、核心原则：拨缴义务不因是否建立工会而免除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已建立工会组织的单位：拨付的费用称为“工会经费”。其中，百分之六十部分留成于本单位基层工会使用，百分之四十部分需上缴上级工会。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应建未建工会组织的单位：拨付的费用称为“工会筹备金”。单位仍需按工资总额的百分之二全额向上级工会拨缴，作为未来组建工会的专项资金。待工会成立后，再按比例返还留成部分。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第二部分：缴纳标准细则与基数核定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一、缴费基数：全部职工工资总额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拨缴工会经费的基数为“全部职工工资总额”，其定义必须严格遵循国家统计局的法定口径。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“工资总额”的法定定义：依据国家统计局《关于工资总额组成的规定》（1990年第1号令）。工资总额是指各单位在一定时期内直接支付给本单位全部职工的劳动报酬总额。它包括：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计时工资、计件工资。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奖金（如年终奖、绩效奖）。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津贴和补贴（如岗位津贴、交通补贴、通讯补贴、餐补等）。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加班加点工资。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特殊情况下支付的工资（如病假、产假、工伤停工留薪期工资）。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重要排除项：计算工会经费基数时，不包括以下项目：职工福利费、职工教育经费、工会经费本身、各项社会保险费（养老、医疗、失业、工伤、生育保险）和住房公积金。即，应以“应发工资”或“应付职工薪酬-工资”的贷方发生额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基数上下限：根据现行政策，工会经费的计提基数不再设置上限（即不封顶），直接按员工实际应发工资总额计算。基数下限通常与最低工资标准无关，即只要支付了工资，就应以此为基数计算。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二、职工范围界定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“全部职工”是指与本单位建立劳动关系（包括事实劳动关系）并由单位支付工资的各类人员。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包括人员：签订劳动合同的正式工、合同工、临时工、季节工等。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不包括人员（通常由其他责任方缴纳）：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劳务派遣人员：其工会经费应由与其签订劳动合同的劳务派遣单位负责拨缴。用工单位无需将其工资计入本单位的缴费基数。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退休返聘人员：已享受养老保险待遇，与单位构成劳务关系，不计入。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在校实习生：与单位不构成劳动关系，不计入。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非全日制用工人员：若其已在其他单位参加工会并缴纳经费，则本单位可不计入。但若其未在其他单位参保，且符合建会条件，单位应将其纳入。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三、缴费比例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法定统一比例为百分之二。这是全国性的强制标准，任何单位不得自行降低。仅在单位经营发生严重困难，履行法定程序后，方可申请降低比例或缓缴（详见第四部分）。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第三部分：缴纳步骤、计算方法与财务处理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一、计算公式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每月应拨缴的工会经费（或筹备金）总额 = 上月全部职工工资总额 × 2%</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其中：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已建会单位：留成部分（60%）= 总额 × 60%；上缴部分（40%）= 总额 × 40%。</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未建会单位：全额（100%）作为工会筹备金上缴。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二、操作流程与步骤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目前全国多数地区实行税务部门代收工会经费（筹备金），流程与企业纳税高度融合。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计算与计提：每月发放工资后，财务部门根据上月实际发生的工资总额，计算本月应拨缴的工会经费总额。在账务上，通常借记“管理费用——工会经费”或“销售费用”等科目，贷记“应付职工薪酬——工会经费”或“其他应付款——工会经费”科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申报与缴纳：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平台：通过所在地的电子税务局进行申报缴纳。这是最主要的官方平台。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时间：通常按季度或按月申报，与纳税申报期同步或略有不同，具体以当地税务和工会通知为准。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操作：登录电子税务局，在“税费申报及缴纳”或“非税收入申报”模块中找到“工会经费（筹备金）”申报表，填写上月工资总额，系统自动计算应缴费额，确认后完成缴费。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获取合法凭证：缴费成功后，务必取得并保存好合法扣除凭证。通过税务代收的，《中华人民共和国税收缴款书（银行经收专用）》或《中华人民共和国税收完税证明》 均可作为税前扣除凭证。如果是直接向工会缴纳并取得财政部或省级财政部门监制的《工会经费收入专用收据》，也可作为合法凭证。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账务处理：实际缴纳时，借记“应付职工薪酬——工会经费”或“其他应付款——工会经费”科目，贷记“银行存款”科目。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三、税前扣除要点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企业拨缴的工会经费，不超过工资、薪金总额2%的部分，准予在企业所得税前全额扣除。关键在于“凭合法有效凭证扣除”，因此保管好上述缴款凭证至关重要。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第四部分：免征、减征、返还条件与审批管理步骤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一、小额缴费工会组织工会经费全额返还政策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这是当前一项重要的支持政策，但非“免征”，而是“先缴后返”。</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政策依据：《中华全国总工会办公厅关于继续实施小额缴费工会组织工会经费全额返还支持政策的通知》（总工办发〔2025〕21号），政策延续执行至2026年12月31日。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适用条件：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对象：建立工会组织的用人单位。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标准：全年足额上缴上级工会的经费（即工资总额2%中的40%部分）累计低于1万元（不含）。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排除对象：由财政保障基本支出的党政机关、事业单位，以及国有和国有控股企业中的小额缴费工会组织，不享受此政策。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前提：必须依法、按时、足额缴纳了工会经费。未足额缴纳导致年度上缴额低于1万元的，不享受返还。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审批管理流程：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申报原则：一年一申报，逾期视为放弃。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申报时间：通常在次年上半年。例如，2025年度的返还申请，需在2026年3月31日前提交。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申报材料（通常包括）：《工会经费全额返还申请表》；工会法人资格证书或建会批复；企业营业执照；工会经费缴费证明；上年度职工工资总额相关会计凭证（如工资表、明细账）。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流程：符合条件的基层工会向所属上级工会提交申请材料→上级工会审核认定→由市总工会等统一将已上缴的经费全额返还至基层工会账户。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二、小微企业工会经费支持政策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部分地区对符合工信部标准的小微企业，有阶段性全额返还工会经费的政策。但此政策具有地域性和阶段性，并非全国统一且长期执行。企业需咨询当地总工会，以最新文件为准。例如，有信息显示“职工人数30人以下的企业，前6个月可免缴工会经费”，但这可能属于地方性或特定时期的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三、经营困难单位降低比例或缓缴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政策依据：《工会法》及《基层工会经费收支管理办法》的相关精神，对缴存经费确有困难的单位，经批准后可降低比例或缓缴。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适用条件：单位连续亏损、生产经营严重困难、职工工资发放低于当地最低工资标准等。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审批管理流程（极为严格）：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内部民主决议：必须经本单位职工代表大会或全体职工大会讨论通过，形成书面决议。这是受理的前提。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准备申请材料：包括申请书、财务报表（证明经营困难）、职工工资发放表、职工代表大会决议、补缴计划承诺书等。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提交审批：向所在地的县级以上地方总工会提交申请。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审核批准：地方总工会审核后，报同级工会经费审查委员会和上级工会备案或批准。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执行与恢复：获批准后，按新比例执行或暂缓缴纳。待经济效益好转后，必须及时恢复原比例并补缴缓缴的经费。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第五部分：官方信息查询、办理平台与咨询渠道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一、核心办理平台（税务代收）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平台名称：国家税务总局广东省电子税务局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官方网址：https://etax.guangdong.chinatax.gov.cn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用途：这是广东省内企业办理工会经费（筹备金）申报、缴纳、查询等全流程业务的主要官方线上平台。企业财务人员需使用法人身份或办税员身份登录操作。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二、政策制定与咨询主管机构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中华全国总工会：最高政策制定机构。可通过其官方网站了解全国性政策。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地方各级总工会（如广东省总工会、中山市总工会）：负责本地区具体政策的执行、解释以及困难减免、返还的审批。企业遇到具体问题应首先咨询所属地总工会。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通常可通过搜索引擎查询“XX市总工会”官网获取联系方式和工作动态。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国家税务总局各地市税务局：负责工会经费的代收征管，解答申报缴纳过程中的技术问题。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三、统一咨询服务热线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税务服务热线：12366。可咨询工会经费申报缴纳系统操作、凭证获取等问题。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工会服务热线：部分地区工会设有服务热线，可在其官网查找。全国统一的工会服务热线信息需查询当地总工会。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核心建议：工会经费的拨缴是单位的法定义务，合规处理至关重要。单位应：第一，准确核定基数，严格按国家统计局口径计算工资总额，明确人员范围；第二，按时足额申报缴纳，通过电子税务局等官方渠道完成，并妥善保管缴费凭证用于税前扣除；第三，主动了解适用政策，如符合小额缴费返还条件，务必在规定时间内主动申报；第四，确因困难需申请减免缓缴时，必须履行严格的民主程序和审批流程，不得擅自不缴或少缴。建议企业人力资源与财务部门协同，建立工会经费计提、缴纳、凭证管理的内部规范流程，确保长期合规。</w:t>
      </w:r>
    </w:p>
    <w:p w14:paraId="1E48EE3A">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24. 税收与费用 / 管理费用、销售费用、制造费用、研发费用、项目费用 / 管理费用、销售费用、制造费用、研发费用、项目费用</w:t>
      </w:r>
    </w:p>
    <w:p w14:paraId="44A34F29">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《教育费附加》</w:t>
      </w:r>
    </w:p>
    <w:p w14:paraId="60DA4062">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教育附加费缴纳全流程操作指南、风险防范与合规管理手册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为企业及纳税人提供一套全面、系统、可操作的教育附加费（包括教育费附加和地方教育附加）缴纳实务指引。内容涵盖现行政策框架、缴纳标准细则、精确的计算方法、免征减征条件、审批管理流程，并附有明确的法律法规依据。纳税人应以此为基础，确保合规履行纳税义务，准确享受税收优惠，防范税务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第一部分：教育附加费基本框架与法律性质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一、税种构成与法律依据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教育附加费是我国为发展教育事业而征收的专项政府性基金，随增值税、消费税（以下简称“两税”）附征。它并非一个独立的税种，而是以实际缴纳的“两税”税额为计征依据的附加征收项目。主要包括两项：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教育费附加：依据《征收教育费附加的暂行规定》（国发〔1986〕50号发布，根据2011年国务院令第588号修订）征收。该规定第三条明确，教育费附加，以各单位和个人实际缴纳的增值税、消费税的税额为计征依据，教育费附加率为百分之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地方教育附加：依据《财政部关于统一地方教育附加政策有关问题的通知》（财综〔2010〕98号）征收。该文件规定，地方教育附加征收标准统一为单位和个人（包括外商投资企业、外国企业及外籍个人）实际缴纳的增值税、消费税税额的百分之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二、核心原则：附征性与从属性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教育附加费的缴纳义务直接产生于“两税”的缴纳义务。其核心特征包括：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计征依据的从属性：以纳税人实际缴纳的增值税、消费税税额为基数，本身没有独立的税基。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纳税义务的附随性：只要发生了“两税”的纳税义务，且不属于法定免征情形，就必须同时计算缴纳教育附加费。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征收管理的统一性：由税务部门负责征收管理，申报缴纳期限、地点与主税“两税”完全一致。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第二部分：缴纳标准细则与基数核定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一、计征基数：实际缴纳的增值税、消费税税额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这是计算教育附加费的唯一基准，必须准确把握“实际缴纳”的含义：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实际缴纳”的定义：指纳税人依照税法规定，在纳税申报期内向税务机关申报并入库的增值税、消费税税额。它等于当期应纳税额减去当期直接享有的增值税即征即退、先征后退、先征后返等政策性退税，以及出口免抵税额（仅对生产企业出口自产货物产生的免抵税额征收附加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不包括的项目：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尚在留抵退税申请流程中或已批准但未实际退库的增值税进项留抵税额。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享受直接免征的增值税、消费税税额（如销售自产农产品免征增值税）。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查补的“两税”税款及滞纳金、罚款，通常不作为计征附加费的基数（具体以当地税务机关执行口径为准）。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基数计算时点：按月或按季，与主税“两税”的纳税期限保持一致。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二、征收率（费率）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全国执行统一标准，不存在地区浮动：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教育费附加征收率：百分之三（3%）。</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地方教育附加征收率：百分之二（2%）。</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合计附加费率：百分之五（5%）。即，应纳教育附加费总额 = （实际缴纳的增值税额 + 实际缴纳的消费税额）× 5%。</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三、特殊计税规定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出口退税企业：根据《财政部 国家税务总局关于生产企业出口货物实行免抵退税办法后有关城市维护建设税教育费附加政策的通知》（财税〔2005〕25号），经国家税务局正式审核批准的当期免抵的增值税税额，应纳入教育附加费的计征范围，按规定征收教育费附加和地方教育附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增值税小规模纳税人：其享受的增值税减免政策，直接影响附加费的计征基数。若增值税被免征，则相应的附加费也免征。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第三部分：缴纳步骤、计算方法与操作示例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一、计算公式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每月（季）应纳教育附加费总额 = （本月（季）实际缴纳的增值税额 + 本月（季）实际缴纳的消费税额）× 5%</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其中：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教育费附加 = （实际缴纳增值税额 + 实际缴纳消费税额）× 3%</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地方教育附加 = （实际缴纳增值税额 + 实际缴纳消费税额）× 2%</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二、操作流程与步骤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教育附加费的申报缴纳已完全嵌入增值税、消费税的申报流程中，通过电子税务局一体化办理。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计算与计提：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在完成当期增值税、消费税纳税申报后，确定本期“实际缴纳”的税额。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财务人员根据上述公式计算本期应缴纳的教育附加费。在账务处理上，通常借记“税金及附加”科目，贷记“应交税费——应交教育费附加”、“应交税费——应交地方教育附加”科目。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申报与缴纳：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通过所在地的电子税务局进行申报缴纳。在填写增值税、消费税申报表时，系统会根据主税申报数据自动计算并生成教育附加费的申报表（通常为《增值税、消费税附加税费申报表》），纳税人只需核对确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时间：与主税“两税”的申报期限完全一致。按月申报的，次月15日内（遇节假日顺延）；按季申报的，季度终了后15日内。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操作：登录电子税务局，进入“税费申报及缴纳”模块，完成主税申报后，系统自动跳转或提示进行附加税费申报。核对预填数据无误后，提交申报并完成缴款。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获取凭证：缴款成功后，可在电子税务局“证明开具”模块查询打印《中华人民共和国税收完税证明》，作为缴费和税前扣除的合法凭证。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账务处理：实际缴纳时，借记“应交税费——应交教育费附加”、“应交税费——应交地方教育附加”科目，贷记“银行存款”科目。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三、计算示例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假设广东省某企业为增值税一般纳税人，2025年8月申报缴纳增值税100，000元，消费税20，000元，无其他特殊情况。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计征基数 = 100，000元 + 20，000元 = 120，000元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应纳教育费附加 = 120，000元 × 3% = 3，600元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应纳地方教育附加 = 120，000元 × 2% = 2，400元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本月应纳教育附加费总额 = 3，600元 + 2，400元 = 6，000元，或直接计算为120，000元 × 5% = 6，000元。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第四部分：免征、减征条件与审批管理步骤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教育附加费的优惠主要是基于对主税“两税”的优惠，或针对特定纳税人的直接减免。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一、主要免征条件（依据最新有效政策）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小规模纳税人月销售额10万元以下免征：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政策依据：《财政部 税务总局关于扩大有关政府性基金免征范围的通知》（财税〔2016〕12号）。该文件规定，将免征教育费附加、地方教育附加的范围，由现行按月纳税的月销售额或营业额不超过3万元（按季纳税的季度销售额或营业额不超过9万元）的缴纳义务人，扩大到按月纳税的月销售额或营业额不超过10万元（按季纳税的季度销售额或营业额不超过30万元）的缴纳义务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要点：此政策为“自动享受”。小规模纳税人在进行增值税申报时，若系统判断其销售额符合条件，则其当期因缴纳增值税而产生的教育附加费自动免征，无需单独申请或备案。但需注意，如果当期有缴纳消费税，或因出口免抵税额产生的附加费，不在此免征范围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增值税、消费税直接免税对应的附加费免征：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当纳税人享受了增值税、消费税的直接免税政策（如农业生产者销售自产农产品），其免征的增值税、消费税税额部分，不征收教育附加费。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重点群体创业就业税收优惠：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政策依据：《财政部 税务总局 人力资源社会保障部 国务院扶贫办关于进一步支持和促进重点群体创业就业有关税收政策的通知》（财税〔2019〕22号，政策通常延续执行）。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内容：对建档立卡贫困人口、持《就业创业证》的人员从事个体经营的，或企业招用上述人员的，在享受增值税、城市维护建设税等免税限额扣减时，其教育附加费、地方教育附加也同步享受限额扣减。具体扣减额度以最新文件为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退役士兵创业就业税收优惠：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政策依据：《财政部 税务总局 退役军人部关于进一步扶持自主就业退役士兵创业就业有关税收政策的通知》（财税〔2019〕21号，政策通常延续执行）。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内容：与重点群体政策类似，自主就业退役士兵从事个体经营或企业招用其就业的，可按规定享受增值税、城市维护建设税及教育附加费的限额扣减优惠。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二、减征条件（阶段性政策）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国家可能根据经济社会发展需要，出台阶段性降低教育附加费征收率的政策。例如，历史上曾有过减半征收的时期。此类政策具有明确的执行期限，纳税人需密切关注财政部、国家税务总局发布的最新联合公告。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三、审批管理流程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对于普惠性免征（如小规模纳税人月销售额10万以下）：实行“自行判别、申报享受、相关资料留存备查”的办理方式。纳税人在申报时直接享受，无需报送资料，但应将相关证明材料（如财务报表、发票等）留存备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对于特定优惠（如重点群体、退役士兵）：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第一步：资格认定。纳税人需持相关材料（如《就业创业证》、劳动合同、社保记录等）到人力资源社会保障部门或退役军人事务部门申请核实，取得《企业吸纳重点群体就业认定证明》或类似函件。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第二步：纳税申报享受。在进行增值税、消费税及附加税费申报时，在申报表中填写相应的减税性质代码和减税额度，系统自动计算抵减。需将第一步取得的认定证明等资料留存备查。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第三步：后续管理。税务机关会进行事后核查，如发现不符合条件，将追缴已减免的税款。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对于困难减免：教育附加费一般没有单独的困难减免政策。其减免通常依附于主税“两税”的困难减免。如果纳税人因特殊困难，经省、自治区、直辖市税务局批准，可以延期缴纳“两税”，则相应的附加费缴纳期限也随之延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第五部分：官方信息查询、办理平台与咨询渠道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一、核心办理与查询平台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平台名称：国家税务总局广东省电子税务局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官方网址：https://etax.guangdong.chinatax.gov.cn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用途：这是广东省内纳税人办理教育附加费申报、缴纳、查询、证明开具等全流程业务的唯一官方线上平台。所有政策发布、申报表更新、缴款流程均通过该平台集成。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二、政策信息权威发布源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中华人民共和国财政部：发布全国性的税收优惠政策文件。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国家税务总局：发布税收征管政策、征管公告及政策解读。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国家税务总局广东省税务局：发布广东省内的政策执行口径、征管通知和操作指引。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三、统一咨询服务热线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税务服务热线：12366。提供7x24小时政策咨询、系统操作指导、投诉建议等服务。这是解决涉税问题最直接、最权威的渠道。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核心建议：教育附加费的合规管理关键在于“随主税而动”。纳税人应：第一，准确确定计征基数，即当期实际入库的增值税、消费税税额，注意出口免抵税额等特殊规定；第二，充分利用申报系统自动化，在电子税务局完成主税申报后，务必核对系统自动生成的附加费数据；第三，主动判别并享受优惠，特别是小规模纳税人要确保申报数据准确以触发自动免征，符合重点群体等条件的要及时完成资格认定；第四，规范资料留存备查，将所有享受优惠的证明材料分类归档，以备税务机关核查。建议企业将附加费的计算与申报审核纳入增值税管理的同一流程中，确保无缝衔接，避免漏报或错误享受优惠带来的税务风险。</w:t>
      </w:r>
    </w:p>
    <w:p w14:paraId="70DBEAF2">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25. 税收与费用 / 管理费用、销售费用、制造费用、研发费用、项目费用 / 管理费用、销售费用、制造费用、研发费用、项目费用</w:t>
      </w:r>
    </w:p>
    <w:p w14:paraId="687FC87D">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《文化事业建设费》</w:t>
      </w:r>
    </w:p>
    <w:p w14:paraId="34A4FF7B">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文化事业建设费缴纳全流程操作指南、风险防范与合规管理手册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为广告、娱乐行业相关企业及个人提供一套全面、系统、可操作的文化事业建设费（以下简称“文化费”）缴纳实务指引。内容涵盖现行政策框架、缴纳标准细则、精确的计算方法、免征减征条件、审批管理流程，并附有明确的法律法规依据。缴费义务人应以此为基础，确保合规履行缴费义务，准确享受优惠政策，防范税务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第一部分：文化事业建设费基本框架与法律性质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一、制度性质与法律依据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文化事业建设费是国家为促进文化事业健康发展，筹集必要资金而对特定文化服务活动征收的政府性基金。其征收具有法定强制性，主要依据以下文件：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《财政部 国家税务总局关于营业税改征增值税试点有关文化事业建设费政策及征收管理问题的通知》（财税〔2016〕25号）：该文件是文化费征收管理的核心依据，明确了广告服务的缴费义务人、计费销售额计算方法和基本征收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《财政部 国家税务总局关于营业税改征增值税试点有关文化事业建设费政策及征收管理问题的补充通知》（财税〔2016〕60号）：该文件补充规定了娱乐服务的缴费义务人和计费方法，并明确了未达增值税起征点的免征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财政部关于延续实施文化事业建设费优惠政策的通知》（财税〔2025〕7号）：该文件规定，自2025年1月1日至2027年12月31日，对归属中央收入的文化费按应缴费额的50%减征；对归属地方收入的部分，授权各省在50%幅度内减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地方性政策（以广东省为例）：《广东省财政厅 国家税务总局广东省税务局关于我省延续实施文化事业建设费优惠政策的通知》（粤财税〔2025〕15号）明确，广东省对归属地方收入的文化费，同样按照应缴费额的50%减征，即执行“顶格”减征。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二、核心原则：附征性与服务特定性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文化费的缴纳义务直接产生于提供“广告服务”或“娱乐服务”的经营活动。其核心特征包括：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计征依据的从属性：以提供上述服务取得的“计费销售额”为基数。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征收范围的特定性：仅对《销售服务、无形资产、不动产注释》（财税〔2016〕36号附件）中明确规定的“广告服务”和“娱乐服务”征收。例如，广告设计属于“设计服务”，不征收文化费；单纯出租广告位属于“经营租赁服务”，也不征收文化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第二部分：缴纳标准细则与基数核定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一、缴费义务人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广告服务：在中华人民共和国境内提供广告服务的广告媒介单位和户外广告经营单位。这包括广播电台、电视台、报纸、刊物以及互联网等各类广告发布媒介的经营单位。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娱乐服务：在中华人民共和国境内提供娱乐服务的单位和个人。这意味着个人提供娱乐服务（如个体经营的歌厅、酒吧）也需缴纳文化费。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扣缴义务人：中华人民共和国境外的广告媒介单位和户外广告经营单位在境内提供广告服务，在境内未设有经营机构的，以广告服务接受方为文化费的扣缴义务人。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二、计费销售额的确定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这是计算文化费的唯一基准，广告服务和娱乐服务的计算方式不同：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广告服务计费销售额：为缴纳义务人提供广告服务取得的全部含税价款和价外费用，减除支付给其他广告公司或广告发布者的含税广告发布费后的余额。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关键扣除条件：减除支付给第三方的广告发布费，必须取得增值税专用发票或国家税务总局规定的其他合法有效凭证，否则不得减除。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娱乐服务计费销售额：为缴纳义务人提供娱乐服务取得的全部含税价款和价外费用，不得扣除任何成本费用。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三、费率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全国执行统一标准：百分之三（3%）。</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第三部分：缴纳步骤、计算方法与操作示例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一、计算公式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广告服务应缴费额 = （提供广告服务取得的全部含税价款及价外费用 - 支付给其他广告公司或广告发布者的含税广告发布费） × 3%。</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娱乐服务应缴费额 = 提供娱乐服务取得的全部含税价款及价外费用 × 3%。</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扣缴义务人应扣缴费额 = 支付的广告服务含税价款 × 3%。</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二、操作流程与步骤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文化费的申报缴纳已完全嵌入增值税的申报流程中，通过电子税务局一体化办理。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计算与计提：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在会计期末，根据上述公式计算本期应缴纳的文化费。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财务人员进行账务处理：借记“税金及附加”科目，贷记“应交税费——应交文化事业建设费”科目。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申报与缴纳：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平台：通过所在地的电子税务局进行申报缴纳。在完成增值税申报后，系统通常会自动带出或提示进行文化事业建设费申报。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时间与地点：文化费的缴纳义务发生时间、缴纳地点和缴纳期限，与缴费人的增值税纳税义务发生时间、纳税地点和纳税期限完全相同。即按月或按季，在增值税申报期内一并办理。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操作：登录电子税务局，在“税费申报及缴纳”模块中，找到“文化事业建设费申报”表，核对系统预填数据（或自行填写计费销售额），提交申报并完成缴款。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获取凭证：缴款成功后，可在电子税务局“证明开具”模块查询打印《中华人民共和国税收完税证明》。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账务处理：实际缴纳时，借记“应交税费——应交文化事业建设费”科目，贷记“银行存款”科目。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三、计算示例（考虑减半征收政策）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假设广东省某广告公司（一般纳税人）2025年10月取得广告服务含税收入106万元（其中增值税6万元），支付给电视台的含税广告发布费21.2万元（已取得增值税专用发票，其中增值税1.2万元）。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计费销售额 = 106万元 - 21.2万元 = 84.8万元。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应缴费额 = 84.8万元 × 3% = 2.544万元。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享受中央及地方收入均减征50%后，实际应缴费额 = 2.544万元 × 50% = 1.272万元。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第四部分：免征、减征条件与审批管理流程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一、免征条件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小规模纳税人月销售额2万元以下免征：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政策依据：《财政部 国家税务总局关于营业税改征增值税试点有关文化事业建设费政策及征收管理问题的通知》（财税〔2016〕25号）第七条。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内容：增值税小规模纳税人中，月销售额不超过2万元（按季纳税不超过6万元）的企业和非企业性单位提供的应税服务，免征文化事业建设费。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未达增值税起征点免征：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政策依据：《财政部 国家税务总局关于营业税改征增值税试点有关文化事业建设费政策及征收管理问题的补充通知》（财税〔2016〕60号）第三条。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内容：未达到增值税起征点的缴纳义务人，免征文化事业建设费。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二、减征条件（现行核心优惠政策）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政策依据：《财政部关于延续实施文化事业建设费优惠政策的通知》（财税〔2025〕7号）第一条。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内容：自2025年1月1日至2027年12月31日：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对归属中央收入的文化事业建设费，按照缴纳义务人应缴费额的50%减征。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对归属地方收入的文化事业建设费，各省（区、市）可以在应缴费额50%的幅度内自主确定减征比例。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广东省执行口径：根据粤财税〔2025〕15号文，广东省对归属地方收入的部分，同样按照应缴费额的50%减征，即实际综合减征幅度为50%。</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追溯执行：2025年1月1日起至政策文件发布之日前，已缴纳的符合本减免条件的费款，可抵减以后应缴费款或申请退还。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三、审批管理流程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对于上述所有免征、减征优惠：均实行“自行判别、申报享受、相关资料留存备查”的办理方式。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操作要点：缴费人在电子税务局进行申报时，系统会自动计算并享受减征优惠。对于免征情形，缴费人需自行判断符合条件后，在申报时直接进行零申报或免税申报。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资料要求：无需向税务机关提交额外申请资料，但必须将与享受优惠相关的证明材料（如证明小规模纳税人身份的报表、证明销售额未超标的账簿记录、符合扣除条件的发票等）完整留存备查，保存期应符合税收征管法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对于多缴退费：如因政策追溯等原因需要退还多缴费用，可登录电子税务局，在“税费申报及缴纳”模块中找到文化事业建设费申报表，选择更正申报，系统会自动按新政策重新计算，提交后即可申请退税。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第五部分：官方信息查询、办理平台与咨询渠道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一、核心办理与查询平台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平台名称：国家税务总局广东省电子税务局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官方网址：https://etax.guangdong.chinatax.gov.cn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用途：这是广东省内缴费人办理文化事业建设费申报、缴纳、查询、证明开具、退税申请等全流程业务的唯一官方线上平台。所有政策适用和计算均通过该平台实现。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二、政策信息权威发布源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中华人民共和国财政部：发布全国性的基金政策文件。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国家税务总局：发布征管政策、征管公告及政策解读。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国家税务总局广东省税务局：发布广东省内的政策执行口径、征管通知和操作指引。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三、统一咨询服务热线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税务服务热线：12366。提供7x24小时政策咨询、系统操作指导、投诉建议等服务。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核心建议：文化事业建设费的合规管理关键在于准确界定应税服务范围、精确计算计费销售额（特别是广告服务的合法扣除）、以及及时享受税收优惠。缴费人应：第一，严格对照注释界定业务性质，避免将非广告、非娱乐服务错误纳入计征范围；第二，规范取得并保存扣除凭证，确保广告发布费的扣除合法有效；第三，充分利用系统自动计算功能，在申报增值税后及时完成文化费申报，并核对减征优惠是否准确享受；第四，完整留存备查资料，包括身份证明、收入凭证、扣除凭证等，以应对后续核查。建议企业建立内部业务分类与计税复核机制，从合同签订、发票开具到纳税申报全流程管控，有效防范税务风险。</w:t>
      </w:r>
    </w:p>
    <w:p w14:paraId="564B1FB5">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26. 税收与费用 / 财务费用 / 财务费用</w:t>
      </w:r>
    </w:p>
    <w:p w14:paraId="41210232">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《保证合同》</w:t>
      </w:r>
    </w:p>
    <w:p w14:paraId="27D36E0F">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企业签订《担保合同》全流程法律风险防范与合规操作指南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为他人债务提供担保，是商事活动中常见的增信措施，但绝非简单的“签个字、盖个章”。担保合同一旦签署，企业便以其全部资产为债务人的信用“背书”，风险极高且具有连带性。根据《中华人民共和国民法典》及其担保制度司法解释，担保合同的法律关系复杂，风险点遍布于主体资格、意思表示、合同条款、权利设立及后续履行等各个环节。一份严谨的担保合同，是企业控制或有负债、防范被“拖下水”的关键防火墙。以下从担保人（保证人、抵押人、出质人）视角，系统梳理签约与履约中的核心法律风险，并提供精细化、可操作的防范策略及法律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第一部分：合同效力与主体资格的根本性风险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风险点一：担保人主体不适格，导致担保合同无效。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为法律明确禁止的主体提供担保，或接受此类主体提供的担保，合同自始无效。例如，机关法人（政府部门）、居民委员会、村民委员会（除依法代行村集体经济组织职能并履行法定程序外）以及以公益为目的的非营利性学校、幼儿园、医疗机构、养老机构以其公益设施提供的担保，依法无效。合同无效的法律后果是返还财产、赔偿损失，担保人可能仅需承担不超过债务人不能清偿部分二分之一的过错赔偿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适用〈中华人民共和国民法典〉有关担保制度的解释》法释〔2020〕28号第五条：“机关法人提供担保的，人民法院应当认定担保合同无效，但是经国务院批准为使用外国政府或者国际经济组织贷款进行转贷的除外。居民委员会、村民委员会提供担保的，人民法院应当认定担保合同无效，但是依法代行村集体经济组织职能的村民委员会，依照村民委员会组织法规定的讨论决定程序对外提供担保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同解释第六条：规定了以公益为目的的非营利法人提供担保无效的例外情形。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签约前强制核查主体资格：要求对方提供最新的《营业执照》，并通过 “国家企业信用信息公示系统”（官方网址：http://www.gsxt.gov.cn）核实其企业类型、经营范围，确认非上述法律禁止的担保主体。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审慎接受特殊主体担保：如交易对手为事业单位或社会团体，需核实其是否已登记为营利法人，或担保物是否为其公益设施以外的财产。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风险点二：公司对外担保未经内部决议程序，担保效力存在重大瑕疵。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这是企业担保实践中最高发的风险。根据《公司法》及《民法典担保制度解释》，公司法定代表人未经股东（大）会或董事会决议（根据公司章程规定），擅自以公司名义对外提供担保，构成越权代表。此时，合同效力取决于债权人（相对人）是否“善意”，即是否对公司决议进行了合理审查。若债权人非善意（未审查决议），担保合同对公司不发生效力，公司仅承担赔偿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《中华人民共和国公司法》第十五条：明确了公司对外担保的决议程序。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《最高人民法院关于适用〈中华人民共和国民法典〉有关担保制度的解释》法释〔2020〕28号第七条：详细规定了法定代表人越权担保的效力认定规则及“善意”的标准。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同解释第八条：列举了无需公司决议的例外情形（如金融机构开立保函、为全资子公司担保、持有三分之二以上表决权股东同意等）。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作为债权人（接受担保方）：必须将审查担保人公司决议作为签约前置条件。应取得担保人公司章程、同意本次担保的股东（大）会或董事会决议原件，并核对决议内容（担保金额、对象、期限）与担保合同是否一致，签字人员是否符合章程规定。对于上市公司担保，必须依据其公开披露的决议信息签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作为担保人（提供担保方）：在对外签署担保合同前，必须严格按照公司章程履行内部决策程序，并保留完整的会议记录、决议文件。可在合同中声明“担保人已依法完成内部决策程序，本担保合同合法有效”。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第二部分：担保方式、范围与期间的核心条款风险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风险点三：保证方式约定不明，被依法推定为“一般保证”，丧失先诉抗辩权或直接追索权。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民法典》颠覆了原《担保法》的规则，明确规定“当事人在保证合同中对保证方式没有约定或者约定不明确的，按照一般保证承担保证责任”。一般保证人享有先诉抗辩权，债权人必须先起诉债务人并强制执行后仍不能清偿，才能要求保证人承担责任。这对于债权人而言，极大增加了实现债权的成本和不确定性；对于意图提供一般保证的担保人而言，若被误签为连带保证，则风险骤增。</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《中华人民共和国民法典》第六百八十六条：“保证的方式包括一般保证和连带责任保证。当事人在保证合同中对保证方式没有约定或者约定不明确的，按照一般保证承担保证责任。”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《民法典》第六百八十八条：明确了连带责任保证的定义。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在合同中以加粗字体明确约定保证方式：债权人务必要求写明“保证人自愿为债务人的上述债务向债权人提供连带责任保证”。担保人若只愿承担一般保证责任，则必须明确写入“保证人承担一般保证责任”。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杜绝模糊表述：避免使用“保证”、“担保”等未明确性质的词语，或“在债务人不能履行时承担保证责任”等易产生歧义的表述。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风险点四：保证期间约定不明或过短，导致担保责任“过期作废”。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保证期间是除斥期间，不发生中止、中断和延长，债权人必须在此期间内依法主张权利，否则保证责任消灭。若约定“保证期间至主债务本息还清时止”，根据《民法典》第六百九十二条，此类约定视为“约定不明”，保证期间为主债务履行期限届满之日起六个月。这相较于旧司法解释的两年大幅缩短，极易导致债权人因疏忽而失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九十二条：“保证期间是确定保证人承担保证责任的期间，不发生中止、中断和延长…债权人与保证人可以约定保证期间，但是约定的保证期间早于主债务履行期限或者与主债务履行期限同时届满的，视为没有约定；没有约定或者约定不明确的，保证期间为主债务履行期限届满之日起六个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明确约定具体的保证期间：例如，“保证期间自主债务履行期限届满之日起三年”。这是目前司法实践中较为常见且对债权人有利的约定。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建立保证期间监控台账：债权人需对每笔担保债权的保证期间起止日进行登记，并设置预警，确保在期间届满前通过诉讼、仲裁或送达书面催收文件等方式有效主张权利。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风险点五：担保范围约定模糊，引发争议。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仅约定“担保全部债务”，未明确列出利息、违约金、损害赔偿金以及实现债权的费用（如律师费、诉讼费、保全费、差旅费等）。在实现担保权时，就可能就是否包含这些费用产生争议，增加诉讼成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在合同中详尽列举担保范围：明确约定“担保范围包括主债权本金、利息、罚息、复利、违约金、损害赔偿金以及债权人实现债权和担保权的一切费用（包括但不限于诉讼费、仲裁费、律师费、保全费、评估费、拍卖费、差旅费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第三部分：担保物权设立与登记的核心风险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风险点六：动产抵押、权利质押未依法办理登记，担保物权未设立或不能对抗第三人。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这是物保（抵押、质押）中最致命的风险。根据《民法典》，不动产抵押权自登记时设立；动产抵押权虽自合同生效时设立，但未经登记不得对抗善意第三人；应收账款、股权、基金份额、知识产权等权利质权，自办理出质登记时设立。未办理登记，意味着债权人（担保权人）不享有优先受偿权，在债务人破产或财产被其他债权人查封时，将沦为普通债权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《中华人民共和国民法典》第四百零三条（动产抵押）：“以动产抵押的，抵押权自抵押合同生效时设立；未经登记，不得对抗善意第三人。”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《民法典》第四百四十五条（应收账款质押）：“以应收账款出质的，质权自办理出质登记时设立。”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《民法典》第四百四十三条（股权质押）：“以基金份额、股权出质的，质权自办理出质登记时设立。”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防范操作与登记机构：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动产抵押、应收账款质押、融资租赁、所有权保留等登记：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登记/查询机构：中国人民银行征信中心动产融资统一登记公示系统（简称“中登网”）。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国务院关于实施动产和权利担保统一登记的决定》（国发〔2020〕18号）及《动产和权利担保统一登记办法》（中国人民银行令〔2021〕第7号）。必须在此系统办理登记，登记是取得对抗效力或设立权利的唯一途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股权出质登记：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登记机构：目标公司注册地的市场监督管理局。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查询网址：通过 “国家企业信用信息公示系统”（http://www.gsxt.gov.cn）可查询股权出质公示信息。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操作：双方需共同向市场监督管理局提交申请材料办理设立登记。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专利权、商标专用权质押登记：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登记机构：国家知识产权局。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官方网址：https://www.cnipa.gov.cn （通过其“专利业务办理系统”或“商标网上服务系统”办理）。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第四部分：合同履行、变更与权利保全的风险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风险点七：主合同变更未经担保人书面同意，导致担保责任免除或变更。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担保合同具有从属性。债权人与债务人私下协商变更主合同（如增加借款金额、延长还款期限），若未经担保人书面同意，根据《民法典》第六百九十五条，减轻债务的，担保人仍对变更后的债务承担保证责任；加重债务的，担保人对加重的部分不承担保证责任。此外，债权人转让债权未通知保证人，或债务人转移债务未经保证人书面同意，也可能导致保证人免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民法典》第六百九十五条：“债权人和债务人未经保证人书面同意，协商变更主债权债务合同内容，减轻债务的，保证人仍对变更后的债务承担保证责任；加重债务的，保证人对加重的部分不承担保证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《民法典》第六百九十六条、第六百九十七条：关于债权转让和债务转移对保证责任影响的规定。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在担保合同中设置“主合同变更通知条款”：约定“主合同任何条款的变更，均需取得担保人的书面同意，否则担保人有权不再承担担保责任”。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作为担保人，密切关注主合同履行状态：一旦知悉主合同可能变更，应立即要求债权人提供书面同意文件，否则可主张免责。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风险点八：债权人放弃债务人提供的物保，损害保证人利益。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同一债权既有债务人自己提供的抵押或质押（物保），又有第三人提供的保证（人保）。根据《民法典担保制度解释》，若债权人放弃债务人提供的物保，保证人在债权人丧失优先受偿权益的范围内免除保证责任。这体现了法律对保证人追偿权的保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保证人可在合同中明确此项权利：约定“若债权人放弃或怠于行使债务人提供的担保物权，导致担保物权价值减损或丧失的，保证人在该范围内免除保证责任”。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第五部分：官方信息查询与风险核查渠道汇总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企业在提供或接受担保的全周期中，应充分利用以下官方平台进行尽职调查与风险管理：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国家企业信用信息公示系统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主管机构：国家市场监督管理总局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核心用途：核查交易对手的工商注册信息、股东出资、股权出质、动产抵押、行政处罚、经营异常及严重违法失信名单。是核实主体资格和资产权利负担状况的首要官方渠道。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中国人民银行征信中心动产融资统一登记公示系统（中登网）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主管机构：中国人民银行征信中心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办理和查询应收账款质押、生产设备等动产抵押、融资租赁、所有权保留、保证金质押、存货/仓单质押等动产和权利担保的登记信息。这是确保担保物权有效设立和获得优先受偿权的法定必经程序和信息来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中国执行信息公开网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主管机构：中华人民共和国最高人民法院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官方网址：http://zxgk.court.gov.cn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核心用途：核查交易对手及其法定代表人是否为“失信被执行人”或被“限制高消费”，评估其偿债能力和商业信誉。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总结与核心建议：企业担保合同的风险管理，必须贯穿 “事前调查、事中审查、事后监控” 的全过程。核心策略是：严审主体资格与内部决议、明确约定保证方式与期间、务必办理法定担保登记、密切关注主合同动态。无论是作为担保人还是债权人，都必须摒弃“人情担保”思维，坚持 “决策程序化、文本标准化、登记强制化” 的原则。担保绝非儿戏，一纸签名背后是企业资产的无限责任。唯有将法律风险意识内化于决策流程，外化于合同文本与登记行为，企业才能在复杂的商事活动中有效控制风险，保障自身安全。</w:t>
      </w:r>
    </w:p>
    <w:p w14:paraId="07AB9F6A">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27. 筹资 / 股东投资 / 股东投资</w:t>
      </w:r>
    </w:p>
    <w:p w14:paraId="5A80D238">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《个体工商户条例》</w:t>
      </w:r>
    </w:p>
    <w:p w14:paraId="4E41C944">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个体工商户全维度解析：法律性质、经济地位、风险收益与合规操作指南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为创业者、投资者、法律从业者及政策研究者提供一套关于“个体工商户”这一重要市场主体的全景式深度解析。内容涵盖其法律定义、核心特征、在经济建设中的独特作用、选择该组织形式的具体利弊，并附有详尽的法律政策依据和实务操作指引，以帮助阅读者快速、准确地理解并运用相关知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第一部分：法律定义与根本性质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一、法定定义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xml:space="preserve">根据我国最高位阶的民事基本法，《中华人民共和国民法典》第五十四条规定：“自然人从事工商业经营，经依法登记，为个体工商户。个体工商户可以起字号。” </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这一定义明确了三个核心要素：1. 主体必须是自然人；2. 行为是从事工商业经营；3. 前提是经依法登记。因此，个体工商户并非一个独立的组织体，而是自然人商事主体资格的法定表现形式，在法律上被归类为“商自然人”或“特殊自然人”。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二、核心政策演进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规范个体工商户的核心行政法规已完成重要迭代：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现行有效法规：《促进个体工商户发展条例》（中华人民共和国国务院令第755号），自2022年11月1日起施行。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已废止法规：原《个体工商户条例》同时废止。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登记管理规章：《个体工商户登记管理规定》（国家市场监督管理总局令第103号），自2025年7月15日起施行，是当前登记操作的具体依据。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三、在经济体系中的法定地位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《促进个体工商户发展条例》第四条明确指出：“个体经济是社会主义市场经济的重要组成部分，个体工商户是重要的市场主体，在繁荣经济、增加就业、推动创业创新、方便群众生活等方面发挥着重要作用。” 这从国家政策层面确立了个体工商户不可或缺的经济地位。截至2024年6月底，全国登记在册个体工商户达1.25亿户，占经营主体总量的66.9%，是其重要性的最直观体现。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第二部分：核心特征与组织形式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一、基本特征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投资主体与资本来源单一：经营者为自然人，经营资本来源于个人财产或家庭共有财产。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设立门槛低，准则登记制：无需最低注册资本，只要申请登记的经营范围不属于法律、行政法规禁止进入的行业，登记机关即应依法予以登记，体现了保障经营自由的原则。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组织形式灵活：可分为个人经营和家庭经营两种。家庭经营的，参加经营的家庭成员姓名应当向登记机关备案。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字号名称非必需：可以起字号，也可以不起字号开展经营活动。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二、责任承担形式（这是最核心的法律特征）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xml:space="preserve">根据《中华人民共和国民法典》第五十六条第一款规定：“个体工商户的债务，个人经营的，以个人财产承担；家庭经营的，以家庭财产承担；无法区分的，以家庭财产承担。” </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这意味着个体工商户对外承担的是无限责任。经营者的个人或家庭财产与经营主体的财产之间没有法律上的风险隔离屏障。一旦经营失败产生债务，债权人有权要求经营者用其全部个人或家庭财产（如房产、存款、车辆等）进行清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三、与有限责任公司的主要区别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为清晰理解，现将个体工商户与最常见的有限责任公司进行对比（以文字描述代替图表）：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法律责任：个体工商户承担无限责任；有限责任公司股东以其认缴的出资额为限承担有限责任。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主体资格：个体工商户是自然人的延伸；有限责任公司是独立的企业法人。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设立要求：个体工商户无注册资本要求；有限责任公司实行注册资本认缴制。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名称权限：个体工商户名称中不能含有“公司”、“有限”等字样；有限责任公司可以。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税收缴纳：个体工商户缴纳个人所得税（经营所得）；有限责任公司需缴纳企业所得税，股东分红还需缴纳个人所得税。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转让与扩张：个体工商户不能转让，难以吸引外部投资和设立分支机构；有限责任公司股权可以转让，便于融资和集团化发展。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第三部分：在经济建设中选择个体工商户的“好处”（优势）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选择个体工商户作为创业起点，主要基于以下优势，尤其适合小本经营、快速试错的场景：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设立与注销极其便捷：注册流程简单，材料少（通常仅需身份证和经营场所证明），可实现“当天领照”。经营不善时，注销手续也远比公司简易，退出成本低。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初期税收负担可能较轻：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征收方式：对账务不健全的，税务机关通常采用核定征收（定期定额），无需复杂做账。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增值税优惠：作为小规模纳税人，可享受月销售额10万元以下（季度30万元以下）免征增值税的优惠政策。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税种单一：不缴纳企业所得税，只按“经营所得”缴纳5%-35%的超额累进个人所得税。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经营高度自主灵活：经营者一人决策，无需股东会、董事会等复杂程序，能够快速响应市场变化，调整经营方向。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运营成本相对较低：管理架构简单，初期可能无需雇佣专职会计；对经营场所的要求也往往更灵活。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政策持续扶持：国家通过《促进个体工商户发展条例》确立了全方位扶持政策，包括鼓励金融机构提供特色贷款、支持线上经营、保障经营场所、清理违规收费等，营商环境不断优化。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第四部分：在经济建设中使用个体工商户的“风险”（劣势与挑战）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与优势并存，个体工商户形式也伴随着显著的风险和局限性：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无限责任风险（最大风险）：如前所述，经营失败可能危及经营者和家庭的个人财产，无法实现风险隔离。例如，一家小吃店若发生食品安全事故导致巨额赔偿，店主可能需要变卖个人房产来偿债。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融资拓展能力极弱：由于不是法人组织，信用评价体系不同于企业，很难获得银行贷款、风险投资等大额融资支持，主要依赖自有资金滚动发展，严重限制规模扩张。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品牌塑造与市场竞争力受限：名称中不能带“公司”，在商业合作中有时会被认为规模小、实力弱。缺乏法人身份，也难以进行有效的品牌资本化运作。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发展延续性差：经营资格与经营者个人身份深度绑定。若经营者发生意外、丧失劳动能力或去世，个体工商户的存续将面临直接中断的风险，不像公司可以通过变更股东持续经营。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吸引和留住人才困难：在职业发展前景、社会保障（如以单位名义缴纳社保的吸引力）、股权激励等方面，通常难以与公司制企业竞争。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税收负担可能“倒挂”：当收入增长至一定规模后，税务机关会要求改为查账征收，此时需建立规范账簿。在较高利润水平下，个人所得税最高边际税率可达35%，可能超过小型微利企业的实际企业所得税税负。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第五部分：核心政策依据条款摘要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为便于查阅，以下列出关键政策的具体条款：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《中华人民共和国民法典》第五十四条：给出个体工商户的法定定义。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《中华人民共和国民法典》第五十六条第一款：明确规定个体工商户的无限责任承担方式。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《促进个体工商户发展条例》第四条：明确个体工商户是“重要的市场主体”的经济地位。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《促进个体工商户发展条例》第六条：规定个体工商户可以个人或家庭经营，其合法权益受法律保护。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《促进个体工商户发展条例》第十三条：创新规定“个体工商户可以自愿变更经营者”，解决了以往字号无法延续的痛点，有利于打造“百年老店”。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《个体工商户登记管理规定》第七条：列明个体工商户应当依法登记的事项，包括组成形式、经营范围、经营场所、经营者姓名及住所。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第六部分：官方登记办理平台与信息查询渠道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一、全国统一服务平台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平台名称：全国经营主体登记注册服务网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官方网址：该平台是办理各类市场主体登记的总入口，相关信息可通过国家市场监督管理总局官网链接进入。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二、地方办理平台（以广东省/中山市为例）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平台名称：广东政务服务网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官方网址：https://www.gdzwfw.gov.cn/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操作路径：登录后，在“企业开办”或“主题服务”中找到“个体工商户设立登记”，即可按指引进行全程电子化办理。各地市（如中山市）均有对应的在线办理入口。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三、信息公示与查询平台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平台名称：国家企业信用信息公示系统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用途：可查询任何已登记个体工商户的注册信息、年报情况、是否被列入经营异常名录等，是验证交易对方资质和信用的权威平台。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实务建议：个体工商户是市场经济中“毛细血管”般的存在，其低门槛、高灵活性的特点使其成为大众创业的完美起点，尤其适用于零售、餐饮、居民服务等传统行业。然而，创业者必须清醒认识其无限责任这一“达摩克利斯之剑”。决策时建议：对于风险较低、规模较小、以快速试错为主要目的的创业项目，可优先考虑个体工商户；一旦业务模式跑通，计划引入资金、扩大规模、打造品牌或从事风险较高的行业时，应果断考虑转型升级为有限责任公司等法人企业形式，以建立有效的风险防火墙。同时，无论选择何种形式，都应密切关注并充分利用国家各项扶持政策，实现合规、稳健、长远的发展。</w:t>
      </w:r>
    </w:p>
    <w:p w14:paraId="2106479B">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28. 筹资 / 股东投资 / 股东投资</w:t>
      </w:r>
    </w:p>
    <w:p w14:paraId="2248E70F">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《个人独资企业法》</w:t>
      </w:r>
    </w:p>
    <w:p w14:paraId="3788D2CA">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个人独资企业全维度解析：法律性质、经济地位、风险收益与合规操作指南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为创业者、投资者、法律从业者及政策研究者提供一套关于“个人独资企业”这一重要市场主体的全景式深度解析。内容涵盖其法律定义、核心特征、在经济建设中的独特作用、选择该组织形式的具体利弊，并附有详尽的法律政策依据和实务操作指引，以帮助阅读者快速、准确地理解并运用相关知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第一部分：法律定义与根本性质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一、法定定义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xml:space="preserve">根据我国专门规范该组织形式的单行法律，《中华人民共和国个人独资企业法》第二条规定：“本法所称个人独资企业，是指依照本法在中国境内设立，由一个自然人投资，财产为投资人个人所有，投资人以其个人财产对企业债务承担无限责任的经营实体。” </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这一定义明确了四个核心要素：1. 设立依据是本法；2. 投资主体是一个自然人；3. 财产归属是投资人个人所有；4. 责任形式是无限责任。因此，个人独资企业是一种非法人企业，在法律上不具备独立的法人资格，其法律人格与投资人的自然人身份紧密相连，被视为“商自然人”的高级形态。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二、核心政策演进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规范个人独资企业的核心法律自2000年施行以来，其基本框架保持稳定，但配套的税收政策是核心调整领域：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核心法律：《中华人民共和国个人独资企业法》（1999年8月30日通过，2000年1月1日起施行）。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税收政策：《国务院关于个人独资企业和合伙企业征收所得税问题的通知》（国发〔2000〕16号）。该通知确立了个人独资企业税收制度的基石，即“对个人独资企业和合伙企业停止征收企业所得税，其投资者的生产经营所得，比照个体工商户的生产、经营所得征收个人所得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具体征收规定：《财政部 国家税务总局关于印发〈关于个人独资企业和合伙企业投资者征收个人所得税的规定〉的通知》（财税〔2000〕91号），该文件是操作层面的详细指南。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三、在经济体系中的法定地位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个人独资企业是我国社会主义市场经济中不可或缺的组成部分，是重要的市场主体。它填补了自然人个体经营与规范公司制企业之间的空白，为有一定规模、希望以企业名义开展经营，但又暂不追求法人独立地位和有限责任保护的创业者提供了理想选择。在专业服务（如设计、咨询）、零售商贸、特色餐饮等领域尤为常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第二部分：核心特征与组织形式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一、基本特征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投资主体单一且特定：投资人必须是一个自然人，法律、行政法规禁止从事营利性活动的人（如公务员）不得作为投资人。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财产所有权与经营权高度统一：企业的财产归投资人个人所有，投资人对本企业的财产依法享有所有权，其有关权利可以依法进行转让或继承。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无限责任：这是最本质的特征。投资人需以其个人全部财产对企业债务承担无限清偿责任。若在申请登记时明确以家庭共有财产出资，则需以家庭共有财产承担无限责任。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组织机构简单：法律不强制要求设立复杂的治理结构（如董事会、监事会），投资人可以自行管理，也可以委托或聘用他人管理。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二、与个体工商户、一人有限责任公司的核心区别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为清晰理解，现将三者进行对比描述：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与个体工商户的区别：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法律形态：个人独资企业是“企业”，名称中可含有“厂”、“店”、“中心”等字样，社会认可度通常更高；个体工商户是“个体经营”单位。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设立要求：个人独资企业必须有固定的生产经营场所和必要的从业人员；个体工商户对此要求相对宽松。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责任承担：两者均为无限责任，但个人独资企业的财务核算要求通常更规范。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转让与延续：个人独资企业的整体经营权可以依法转让或继承；个体工商户的经营者变更程序不同，字号延续性规则有差异。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与一人有限责任公司的区别：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法律责任：个人独资企业承担无限责任；一人有限责任公司股东原则上承担有限责任（以其认缴出资额为限）。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法律主体：个人独资企业是非法人；一人有限责任公司是独立的企业法人。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税收：个人独资企业缴纳个人所得税（经营所得）；一人有限责任公司需缴纳企业所得税，股东分红还需缴纳个人所得税，存在双重征税可能。</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财务规范：一人有限责任公司必须建立严格独立的财务制度，每年需进行审计，否则可能因财产混同而承担连带责任；个人独资企业财务要求相对简化。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第三部分：在经济建设中选择个人独资企业的“好处”（优势）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选择个人独资企业作为创业或经营载体，主要基于以下优势：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税收优势显著（核心优势）：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避免双重征税：根据国发〔2000〕16号文，个人独资企业不缴纳企业所得税。企业的利润在扣除成本费用后，直接作为投资人的“经营所得”，按5%-35%的五级超额累进税率计算缴纳个人所得税。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征收方式灵活：对于会计核算不健全的小型企业，税务机关可采用核定征收方式（如核定应税所得率），计算简便，且在某些情况下（如特定税收洼地）可能实现较低的实际税负。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可享受小规模纳税人增值税优惠：若符合条件，可享受月销售额10万元以下（季度30万元以下）免征增值税，以及3%征收率减按1%征收等政策。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设立与运营相对简便：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设立程序比公司制企业简单，无最低注册资本要求，由投资人申报出资即可。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内部管理结构简单，决策效率高，适合个人或家庭主导的经营模式。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经营利润归个人直接支配：税后利润无需经过复杂的利润分配程序，可由投资人直接支配，资金使用灵活。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企业形象优于个体工商户：以“企业”名义对外开展业务、签订合同、开具发票，在商业合作中往往更具可信度。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第四部分：在经济建设中使用个人独资企业的“风险”（劣势与挑战）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与优势并存，个人独资企业形式也伴随着显著的风险和局限性：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无限责任风险（最大、最根本的风险）：投资人的个人财产（包括但不限于存款、房产、车辆等）与企业财产没有法律隔离。一旦企业经营失败、资不抵债，债权人有权追溯至投资人的全部个人财产进行清偿，可能导致个人破产。即使企业解散，原投资人对存续期间的债务仍要承担偿还责任，债权人在5年内均可追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融资能力受限：由于不是法人实体，且承担无限责任，个人独资企业通过股权融资（吸引风险投资、引入合伙人）极为困难。银行贷款也主要依赖于投资人个人信用和抵押，而非企业信用，融资渠道和规模受限。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发展延续性存在不确定性：企业的生存与发展高度依赖于投资人个人。若投资人生病、丧失行为能力或去世，尽管经营权可继承，但可能引发经营中断或继承纠纷，稳定性不如公司制企业。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难以吸引和激励顶尖人才：无法提供股权、期权等长期激励工具，在吸引和留住核心员工方面，与公司制企业相比处于劣势。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税收优势可能转化为劣势：当企业利润较高时，个人所得税最高边际税率可达35%，可能超过小型微利企业的实际企业所得税税负（例如，对年应纳税所得额不超过300万元的部分，实际税负可能仅为5%）。此外，核定征收政策具有不确定性，税务机关可能根据经营情况调整为查账征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第五部分：核心政策依据条款摘要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为便于查阅，以下列出关键政策的具体条款：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《中华人民共和国个人独资企业法》第二条：给出个人独资企业的法定定义，明确其无限责任性质。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《中华人民共和国个人独资企业法》第八条：规定设立个人独资企业应当具备的五项条件。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《中华人民共和国个人独资企业法》第十七条：明确企业财产归投资人个人所有，权利可转让或继承。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《中华人民共和国个人独资企业法》第十八条：规定以家庭共有财产出资的，以家庭共有财产承担无限责任。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《国务院关于个人独资企业和合伙企业征收所得税问题的通知》（国发〔2000〕16号）：确立对个人独资企业停征企业所得税，改征个人所得税的根本原则。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《财政部 国家税务总局关于印发〈关于个人独资企业和合伙企业投资者征收个人所得税的规定〉的通知》（财税〔2000〕91号）第四条：规定个人独资企业投资者的生产经营所得，比照“个体工商户的生产经营所得”应税项目，适用5%~35%的五级超额累进税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第六部分：官方登记办理平台与信息查询渠道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一、全国统一服务平台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平台名称：全国经营主体登记注册服务网（通常整合在各省市政务服务网或市场监督管理局官网中）。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二、地方办理平台（以广东省为例）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平台名称：广东政务服务网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官方网址：https://www.gdzwfw.gov.cn/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操作路径：登录后，在搜索栏输入“个人独资企业设立登记”，选择所在市区的办理入口，即可按指引进行全程电子化办理，实现“一网通办”。</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三、信息公示与查询平台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平台名称：国家企业信用信息公示系统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用途：可查询任何已登记个人独资企业的注册信息、年报情况、是否被列入经营异常名录或严重违法失信名单，是验证交易对方资质和信用的权威平台。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实务建议：个人独资企业是连接个体经营与公司化运作的“桥梁”，其税收穿透、设立简便的特点使其成为许多服务业、创意产业创业者的优选。然而，创业者必须将无限责任风险置于决策首位。建议：对于风险可控、利润规模适中、且投资人希望直接掌控全部经营权和利润的创业项目（如设计工作室、咨询公司、特色小店），个人独资企业是优良选择。一旦业务规模扩大、计划引入外部资金、或从事风险较高的行业（如贸易、工程等），应果断考虑转型升级为有限责任公司（包括一人有限责任公司），以建立法人面纱，保护个人财产。在经营过程中，务必规范财务管理，即使采用核定征收，也应保留完整的业务凭证，以应对税务核查，并审慎评估大额经营决策可能带来的无限连带责任。</w:t>
      </w:r>
    </w:p>
    <w:p w14:paraId="112315D9">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29. 筹资 / 股东投资 / 股东投资</w:t>
      </w:r>
    </w:p>
    <w:p w14:paraId="3DF2E0EE">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《合伙企业法》</w:t>
      </w:r>
    </w:p>
    <w:p w14:paraId="5A66EE33">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合伙企业全维度解析：法律性质、经济地位、风险收益与合规操作指南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为创业者、投资者、法律从业者及政策研究者提供一套关于“合伙企业”这一重要市场主体的全景式深度解析。内容涵盖其法律定义、核心特征、在经济建设中的独特作用、选择该组织形式的具体利弊，并附有详尽的法律政策依据和实务操作指引，以帮助阅读者快速、准确地理解并运用相关知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第一部分：法律定义与根本性质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一、法定定义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xml:space="preserve">根据我国专门规范该组织形式的单行法律，《中华人民共和国合伙企业法》第二条规定：“本法所称合伙企业，是指自然人、法人和其他组织依照本法在中国境内设立的普通合伙企业和有限合伙企业。” </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这一定义明确了三个核心要素：1. 设立依据是本法；2. 合伙人范围广泛，包括自然人、法人和其他组织；3. 组织形式分为普通合伙和有限合伙两大类。合伙企业是一种非法人企业，不具备独立的法人资格，其法律人格与合伙人身份紧密相连，是典型的“人合”组织。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二、核心类型与责任形式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普通合伙企业：由普通合伙人组成，合伙人对合伙企业债务承担无限连带责任。这是合伙企业的基本形式。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特殊的普通合伙企业：适用于以专业知识和专门技能为客户提供有偿服务的专业服务机构（如会计师事务所、律师事务所）。其特殊之处在于，一个或数个合伙人在执业活动中因故意或重大过失造成合伙企业债务的，应当承担无限责任或无限连带责任，其他合伙人则仅以其在合伙企业中的财产份额为限承担责任。非因故意或重大过失造成的债务，全体合伙人仍承担无限连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有限合伙企业：由普通合伙人和有限合伙人组成。普通合伙人对合伙企业债务承担无限连带责任，有限合伙人以其认缴的出资额为限对合伙企业债务承担责任。有限合伙人不得执行合伙事务，不得对外代表有限合伙企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三、合伙人资格限制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《中华人民共和国合伙企业法》第三条规定：“国有独资公司、国有企业、上市公司以及公益性的事业单位、社会团体不得成为普通合伙人。” 这意味着上述主体只能参与设立有限合伙企业并作为有限合伙人，以保护国有资产和公共利益。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第二部分：核心特征与组织形式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一、基本特征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以合伙协议为基石：合伙协议是设立合伙企业的法律基础，由全体合伙人协商一致、以书面形式订立。协议内容对全体合伙人具有法律约束力，法律赋予合伙协议极大的自治空间，许多事项（如利润分配、事务执行、入伙退伙等）均可由协议约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高度的人合性：合伙企业的存续和运营高度依赖于合伙人之间的相互信任关系。合伙人的变动（如转让财产份额、退伙）通常需要其他合伙人一致同意或符合严格的条件。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财产共有与管理灵活：合伙人的出资、以合伙企业名义取得的收益和依法取得的其他财产，均为合伙企业的财产。在清算前，合伙人不得请求分割。合伙企业事务可以由全体合伙人共同执行，也可以委托一个或数个合伙人执行，管理架构灵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税收穿透处理（核心特征）：根据《中华人民共和国合伙企业法》第六条及《国务院关于个人独资企业和合伙企业征收所得税问题的通知》（国发〔2000〕16号）的规定，合伙企业不缴纳企业所得税。其生产经营所得和其他所得，采取“先分后税”原则，由合伙人分别缴纳所得税。自然人合伙人按“经营所得”缴纳个人所得税（5%-35%超额累进税率）；法人合伙人则将其分得的所得并入自身应纳税所得额计算缴纳企业所得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二、与公司制企业的核心区别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为清晰理解，现将合伙企业与有限责任公司进行对比描述：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法律责任：普通合伙人承担无限连带责任；公司股东以其认缴的出资额为限承担有限责任。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法律主体：合伙企业是非法人；公司是独立的企业法人。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设立基础：合伙企业基于合伙协议，人合性强；公司基于公司章程，资合性为主。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税收：合伙企业不缴纳企业所得税，由合伙人分别纳税；公司需缴纳企业所得税，股东分红还需缴纳个人所得税（存在双重征税可能）。</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财产权与转让：合伙企业财产具有共有性质，合伙人财产份额对外转让限制严格；公司股权转让相对自由。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治理结构：合伙企业治理灵活，可协议约定；公司需依法设立股东会、董事会、监事会等机构。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第三部分：在经济建设中选择合伙企业的“好处”（优势）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选择合伙企业作为经营载体，主要基于以下优势：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税收优势显著（核心优势）：避免了公司制的“双重征税”，利润直接穿透至合伙人，税负可能更低，尤其对于早期亏损或利润不高的企业。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资金与智力的高效结合（有限合伙的独特价值）：有限合伙企业是风险投资（VC）、私募股权（PE）基金的标准组织形式。有限合伙人（LP） 作为资金提供方，承担有限责任，不参与管理；普通合伙人（GP） 作为基金管理人，以劳务、专业知识出资，承担无限责任，负责投资决策。这种结构完美匹配了“有钱出钱、有力出力”的需求。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设立与运营相对灵活：无最低注册资本要求，出资方式多样（普通合伙人可以劳务出资）。内部治理可通过合伙协议高度定制，决策效率高。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专业服务机构的理想选择：特殊的普通合伙形式为会计师事务所、律师事务所等提供了责任风险隔离机制，有助于其扩大规模、提升竞争力。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资源整合平台：允许自然人、法人等多种主体成为合伙人，便于整合不同背景的资源，如产业资本与金融资本的结合。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第四部分：在经济建设中使用合伙企业的“风险”（劣势与挑战）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与优势并存，合伙企业形式也伴随着显著的风险和局限性：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无限连带责任风险（对普通合伙人而言是最大风险）：普通合伙人需以其全部个人财产对企业债务承担无限清偿责任。即使企业破产，个人财产也可能被追索。这种风险在特殊的普通合伙中有所限制，但前提是债务非因故意或重大过失造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稳定性和延续性较差：高度的人合性使得合伙企业的存续对合伙人关系依赖极强。合伙人死亡、丧失偿债能力或退伙，都可能导致合伙企业解散（除非合伙协议另有约定）。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融资能力受限：由于不是法人实体且普通合伙人承担无限责任，通过股权融资（如上市）极为困难。债权融资也主要依赖于合伙人信用。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决策效率可能因“一致同意”原则而降低：根据《合伙企业法》第三十一条，改变企业名称、经营范围、处分不动产等重大事项，通常需要全体合伙人一致同意，可能导致决策僵局。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权益转让困难：合伙人向合伙人以外的人转让其财产份额，须经其他合伙人一致同意，流动性差。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税收优势的不确定性：对于高利润企业，自然人合伙人的个人所得税最高边际税率（35%）可能超过小型微利企业的实际税负。此外，税收政策（如核定征收）可能调整。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第五部分：核心政策依据条款摘要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为便于查阅，以下列出关键政策的具体条款：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《中华人民共和国合伙企业法》第二条：给出合伙企业的法定定义及两种基本类型。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《中华人民共和国合伙企业法》第三条：对特定主体成为普通合伙人的限制性规定。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《中华人民共和国合伙企业法》第六条：确立合伙企业“先分后税”的所得税处理原则。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《中华人民共和国合伙企业法》第三十一条：列举须经全体合伙人一致同意的重大事项。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《中华人民共和国合伙企业法》第三十九条：规定普通合伙人的无限连带责任。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《中华人民共和国合伙企业法》第五十七条至第五十九条：关于特殊的普通合伙企业的特殊规定。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7. 《国务院关于个人独资企业和合伙企业征收所得税问题的通知》（国发〔2000〕16号）：明确对合伙企业停止征收企业所得税，改由合伙人分别纳税的根本原则。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8. 《中华人民共和国合伙企业登记管理办法》（2019年修订）：合伙企业设立、变更、注销登记的具体操作规章。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第六部分：官方登记办理平台与信息查询渠道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一、全国统一登记与公示平台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平台名称：国家企业信用信息公示系统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用途：1. 信息查询：查询任何已登记合伙企业的注册信息、年报、行政处罚、经营异常状态等。2. 信息公示：合伙企业需通过此系统报送并公示年度报告。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二、地方办理平台（以广东省为例）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平台名称：广东政务服务网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官方网址：https://www.gdzwfw.gov.cn/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操作路径：登录后，在搜索栏输入“合伙企业设立登记”，选择所在市区的办理入口，即可按指引进行全程电子化办理，实现“一网通办”。该平台整合了市场监督管理、税务、社保等多个部门的入口。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三、政策信息权威发布源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全国人民代表大会（中国人大网）：发布《合伙企业法》及其修订情况。</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国家市场监督管理总局：发布《合伙企业登记管理办法》及登记管理政策。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国家税务总局：发布关于合伙企业税收征管的各项规定和解读。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实务建议：合伙企业是介于自然人与法人之间、兼具“人合”与“资合”特性的精巧设计。其税收穿透、结构灵活的特点，使其在风险投资、私募基金、专业服务机构等领域具有不可替代的优势。然而，无限责任是悬在普通合伙人头上的“达摩克利斯之剑”。建议：对于资金方希望“只出钱、不管理”的投资项目（如基金），或专业人士希望联合执业并适度隔离风险的服务机构，有限合伙或特殊普通合伙是首选。对于普通创业项目，若合伙人关系极其稳固且愿意共担无限风险，可考虑普通合伙。 在操作中，务必高度重视《合伙协议》的起草，它是企业的“宪法”，应详尽约定出资、决策、分配、入伙退伙、解散清算等一切核心事项，必要时聘请专业律师协助。同时，应规范财务管理，清晰核算，为“先分后税”提供准确依据，并密切关注税收政策的动态变化。</w:t>
      </w:r>
    </w:p>
    <w:p w14:paraId="2E474150">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30. 筹资 / 股东投资 / 股东投资</w:t>
      </w:r>
    </w:p>
    <w:p w14:paraId="26097007">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《公司法》</w:t>
      </w:r>
    </w:p>
    <w:p w14:paraId="660D30C2">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有限责任公司与股份有限公司全维度解析：法律性质、经济地位、风险收益与合规操作指南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为创业者、投资者、法律从业者及政策研究者提供一套关于“有限责任公司”与“股份有限公司”这两类核心公司制市场主体的全景式深度解析。内容涵盖其法律定义、核心特征、在经济建设中的独特作用、选择不同组织形式的具体利弊，并附有详尽的法律政策依据和实务操作指引，以帮助阅读者快速、准确地理解并运用相关知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第一部分：法律定义与根本性质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一、法定定义与共同本质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xml:space="preserve">根据《中华人民共和国公司法》（2023年修订，以下简称“新《公司法》”）第二条规定：“本法所称公司，是指依照本法在中华人民共和国境内设立的有限责任公司和股份有限公司。” </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这两类公司的共同本质在于其法人资格和股东的有限责任。新《公司法》第三条明确：“公司是企业法人，有独立的法人财产，享有法人财产权。公司以其全部财产对公司的债务承担责任。” 第四条进一步规定：“有限责任公司的股东以其认缴的出资额为限对公司承担责任；股份有限公司的股东以其认购的股份为限对公司承担责任。” 这构成了公司制企业与个人独资企业、合伙企业最根本的区别——风险隔离。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二、核心政策演进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核心法律：《中华人民共和国公司法》（2023年12月29日修订通过，自2024年7月1日起施行）。本次修订是全面性、系统性修改，对注册资本制度、公司治理、股东责任等进行了重大调整。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核心登记管理规章：《公司登记管理实施办法》（国家市场监督管理总局令第95号，自2025年2月10日起施行）。该办法细化了新《公司法》的登记要求，是当前办理公司设立、变更、注销等登记备案事项的直接操作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配套行政法规：《国务院关于实施〈中华人民共和国公司法〉注册资本登记管理制度的规定》，为注册资本认缴制向限期实缴制的平稳过渡提供了具体规则。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第二部分：核心特征与组织形式区别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尽管两者均为法人且股东承担有限责任，但在具体特征上存在显著差异，主要体现在“人合性”与“资合性”的侧重不同。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一、有限责任公司（“有限公司”）</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人合性为主，资合性为辅：股东之间基于一定的信任关系结合，股东人数上限为50人。股权转让受到一定限制，对外转让时其他股东享有优先购买权。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出资与资本制度：实行限期认缴制。根据新《公司法》第四十七条及《公司登记管理实施办法》第五条规定，有限责任公司股东认缴的出资额应当自公司成立之日起五年内缴足。对于2024年6月30日前设立的存量公司，设置了过渡期调整安排。</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治理结构灵活：法律允许规模较小或股东人数较少的公司，设一名董事、一名监事，甚至经全体股东一致同意可以不设监事。允许公司只设董事会，并由董事会中的审计委员会行使监事会职权。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利润分配与表决权：原则上按照股东实缴的出资比例分配利润和行使表决权，但允许全体股东通过公司章程另行约定，体现了高度自治。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二、股份有限公司（“股份公司”）</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典型的资合性：以资本结合为中心，发起人为1至200人，股东人数无上限。股份转让相对自由，特别是上市公司股票可在证券交易所公开交易。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出资与资本制度：实行实缴制。根据新《公司法》第九十八条及《公司登记管理实施办法》第五条规定，股份有限公司的发起人应当在公司成立前按照其认购的股份全额缴纳股款。同时，新法引入了授权资本制，允许公司章程或股东会授权董事会在授权股份数额内发行新股，提高了融资灵活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治理结构规范严格：组织机构设置要求更为规范。例如，董事会每年至少召开两次会议；上市公司需设置董事会审计委员会并遵守更严格的议事规则。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股份与表决权：资本划分为等额股份，同股同权（发行类别股除外）。股东所持每一股份有一表决权。财务报告需按规定置备或公告，透明度要求高。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三、一人有限责任公司与国有独资公司</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这是有限责任公司的特殊形式：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一人有限责任公司：指只有一个自然人股东或者一个法人股东的有限责任公司。法律对其有特别规定，如一个自然人只能投资设立一个一人有限公司，且该一人有限公司不能投资设立新的一人有限公司，旨在防止滥用法人独立地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国有独资公司：指国家单独出资、由国务院或者地方人民政府授权本级人民政府国有资产监督管理机构履行出资人职责的有限责任公司。</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第三部分：在经济建设中选择公司制组织的“好处”（优势）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选择设立公司（无论是有限公司还是股份公司），相较于非法人企业，主要基于以下核心优势：</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有限责任保护（根本优势）：股东仅以其出资额或股份为限对公司债务承担责任。这意味着，即使公司资不抵债，债权人也原则上不能追溯股东的个人财产（除非发生“法人人格否认”情形）。这为创业者提供了关键的风险防火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融资渠道广阔，易于扩张：</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可以通过增资扩股吸引新股东（有限公司）或发行新股（股份公司）进行股权融资。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规范的法人治理结构和财务制度使其更容易获得银行贷款、债券融资。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股份有限公司，特别是上市公司，具备向社会公众募集资金的资格，是做大做强的标准平台。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永续经营与产权清晰：公司具有独立的法人生命，不因股东死亡、退出而必然解散，有利于企业长期稳定经营。公司财产独立于股东，产权关系清晰。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提升商业信誉与品牌价值：“公司”形态在商业合作中通常被认为更具实力和规范性。股份有限公司，尤其是上市公司，具有极高的品牌公信力和市场影响力。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税收优惠政策：作为企业法人，可以享受一系列企业所得税优惠政策。例如，根据《财政部 税务总局关于进一步支持小微企业和个体工商户发展有关税费政策的公告》（财政部 税务总局公告2023年第12号），对符合条件的小型微利企业，年应纳税所得额不超过300万元的部分，减按25%计入应纳税所得额，按20%的税率缴纳企业所得税，该政策延续至2027年12月31日。实际税负仅为5%，优惠力度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第四部分：在经济建设中使用公司制组织的“风险”（劣势与挑战）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与优势并存，公司制形式也伴随着相应的责任和成本：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设立与运营成本较高：注册程序相对复杂，可能需要验资（公开募集股份）、制作公司章程、设立股东会、董事会、监事会等机构。日常需要规范的财务会计和审计，管理成本高于个体户。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治理结构复杂，决策效率可能降低：重大决策（如修改章程、增资减资、合并分立）需要遵循严格的法定程序（如召开股东会、达到特定表决比例），可能不如个人独资企业决策迅速。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信息透明度要求高，保密性差：公司，特别是股份有限公司和上市公司，需要依法公开财务报告、重大事项等信息，接受公众和监管机构监督。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存在“法人人格否认”（刺破公司面纱）的风险：如果股东滥用公司法人独立地位和股东有限责任，严重损害公司债权人利益，法院可能判令该股东对公司债务承担连带责任。新《公司法》第二十三条强化了这一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对股份有限公司而言，监管尤为严格：股份公司，特别是上市公司，面临证券监管机构、交易所等多重严格监管，合规成本极高。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6. 存在“双重征税”可能：公司盈利需缴纳企业所得税（税率通常为25%）。税后利润若向自然人股东分红，股东还需缴纳20%的个人所得税。但对于将利润留存于公司再投资的小型微利企业，通过税收优惠可有效缓解此问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第五部分：核心政策依据条款摘要与操作指引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一、设立条件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有限责任公司：依据新《公司法》第二十三条，设立需具备：（一）股东符合法定人数；（二）有符合公司章程规定的全体股东认缴的出资额；（三）股东共同制定公司章程；（四）有公司名称，建立符合有限责任公司要求的组织机构；（五）有公司住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股份有限公司：依据新《公司法》第九十二条，设立需具备：（一）发起人符合法定人数；（二）有符合公司章程规定的全体发起人认购的股本总额或募集的实收股本总额；（三）股份发行、筹办事项符合法律规定；（四）发起人制订公司章程，采用募集方式设立的经创立大会通过；（五）有公司名称，建立符合股份有限公司要求的组织机构；（六）有公司住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二、出资方式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根据新《公司法》第四十八条及《公司登记管理实施办法》第六条，股东可以用货币出资，也可以用实物、知识产权、土地使用权、股权、债权等可以用货币估价并可以依法转让的非货币财产作价出资。法律对数据、网络虚拟财产权属有规定的，也可按规定出资。禁止以劳务、信用、自然人姓名、商誉、特许经营权等出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三、年度报告公示义务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所有公司必须于每年1月1日至6月30日，通过国家企业信用信息公示系统报送上一年度年度报告，并向社会公示。逾期未报将被列入经营异常名录，并可处以罚款。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第六部分：官方登记办理平台与信息查询渠道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一、全国统一登记、信息公示与查询核心平台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平台名称：国家企业信用信息公示系统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xml:space="preserve">• 官方网址：http://www.gsxt.gov.cn </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信息查询：公众可免费查询任何已登记公司的注册信息、行政许可、行政处罚、年度报告、是否被列入经营异常名录或严重违法失信企业名单等。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年度报告报送：公司通过该平台完成年度报告的填写与公示。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信息公示：公司需依法通过该平台公示即时信息（如股权变更、行政许可取得）。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二、地方业务办理统一入口（以广东省为例）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平台名称：广东政务服务网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官方网址：https://www.gdzwfw.gov.cn/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操作路径：登录后，在“企业开办”或“主题服务”中，可找到“有限责任公司设立登记”、“股份有限公司设立登记”等事项入口，实现从名称核准到领取营业执照的全程网上办理。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三、税收业务办理平台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平台名称：国家税务总局广东省电子税务局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官方网址：https://etax.guangdong.chinatax.gov.cn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用途：办理税务登记、纳税申报、税收优惠备案、发票申领等所有涉税事宜。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实务建议：有限责任公司与股份有限公司是现代企业制度的基石，其有限责任特性是鼓励投资和创新的关键。选择时需战略考量：对于股东关系紧密、初期规模不大、不急于公开融资的创业团队，有限责任公司因其灵活性和人合性通常是首选。对于有明确上市计划、需要大规模融资、或股东结构分散的项目，则应直接设立股份有限公司。 在运营中，必须严守公司财产独立的红线，避免与股东个人财产混同，以防“法人人格否认”。同时，应充分利用针对小型微利企业的所得税优惠政策，并按时履行年度报告公示义务，维护企业良好信用。从有限公司变更为股份公司是常见的成长路径，新《公司法》也为此提供了明确的转换程序。</w:t>
      </w:r>
    </w:p>
    <w:p w14:paraId="7D6422FE">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31. 筹资 / 金融机构借入 / 金融机构借入</w:t>
      </w:r>
    </w:p>
    <w:p w14:paraId="3470CC82">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《人民币支付结算法律》</w:t>
      </w:r>
    </w:p>
    <w:p w14:paraId="593B501C">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现行人民币支付结算政策体系、风险防控与跨境实务全指南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系统梳理现行有效的人民币支付结算核心政策法规，深入剖析当前资金流动受限（如“锁卡”）的根本原因，并清晰阐释国际业务中收到人民币的处理方式，以及国内与国际业务中人民币收支的核心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第一部分：现行人民币支付结算核心政策法规体系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我国支付结算管理实行以中国人民银行为核心的多层次监管体系，当前有效的主要政策文件如下：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一、法律与行政法规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《中华人民共和国中国人民银行法》：赋予中国人民银行维护支付、清算系统正常运行，制定支付结算规则的法定职责。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《非银行支付机构监督管理条例》（国务院令第768号）：自2024年5月1日起施行。这是规范支付宝、微信支付等第三方支付机构的最高位阶行政法规，确立了支付业务许可、分类监管、备付金集中存管等核心制度。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二、重要部门规章与规范性文件（现行有效）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《人民币现金收付及服务规定》（中国人民银行 国家发展改革委 金融监管总局公告〔2025〕第29号）：自2026年2月1日起施行。旨在维护人民币法定货币地位，防范和整治拒收现金行为，对经营主体和银行业金融机构的现金收付服务提出明确要求。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《支付结算办法》（银发〔1997〕393号）及中国人民银行〔2024〕第1号令修改决定：支付结算的基础性操作规章，明确了票据、银行卡、结算方式等基本规则。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《非银行支付机构分类评级管理办法》（2026年修订版）：自2026年2月1日起施行。建立了对支付机构基于公司治理、业务规范、备付金管理、反洗钱等七个模块的量化评级体系，实施差异化监管。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《中国人民银行关于加强支付受理终端及相关业务管理的通知》（银发〔2021〕259号）：自2022年3月1日起施行。加强对银行卡受理终端、条码支付受理终端的管理，防范终端被用于非法交易。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《人民币跨境支付系统业务规则》（银发〔2025〕248号）：自2026年2月1日起施行。规范通过人民币跨境支付系统（CIPS）办理跨境人民币支付结算的业务行为。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第二部分：为何资金流动频频受限、“锁卡”现象频发？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当前个人和企业账户被限制交易（俗称“锁卡”）或冻结，主要源于国家为打击电信网络诈骗、洗钱等违法犯罪活动而持续升级的“断卡行动”及穿透式金融监管。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一、政策与行动背景：“断卡行动”的持续深化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断卡行动”是由公安部牵头，联合最高人民法院、最高人民检察院、工业和信息化部、中国人民银行等部门开展的专项打击行动，旨在斩断电话卡、银行卡（合称“两卡”）的非法买卖、租借链条，从源头遏制犯罪。2025年以来，该行动进一步升级，监管更加严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二、账户被限制或冻结的具体原因（政策依据）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根据监管要求，银行和支付机构必须对以下类型的账户采取控制措施：</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涉案账户（最严重）：账户被直接用于接收或转移诈骗、赌博等违法犯罪资金。一旦被公安机关认定为 “一级涉案卡”（即赃款流入的“第一站”），不仅该卡会被冻结，持卡人名下所有银行账户及关联的支付账户都可能被暂停非柜面交易，甚至全部冻结，以防止资金转移、固定证据并优先赔偿受害人。根据《中华人民共和国刑事诉讼法》相关规定，公安机关有权冻结与案件有关的财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“睡眠账户”与“一人多户”：根据《中国人民银行关于加强支付结算管理防范电信网络诈骗犯罪的通知》等规定，银行需清理长期不使用的“睡眠账户”和同一客户开立的过多账户。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睡眠账户：通常指连续18个月以上无主动交易、余额极低的个人储蓄卡，银行会限制其非柜面功能（如ATM取款、网上转账）。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一人多户：个人在同一家银行拥有多个I类户（全功能账户），超出合理用途的部分会被要求清理或降级。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交易行为异常触发风控模型：银行的反洗钱和反欺诈系统会实时监测交易。以下行为极易触发风险控制：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短时间内频繁与多个陌生账户发生资金往来。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交易时间、金额、频率与客户历史习惯或职业身份明显不符（如个人账户每日发生数十笔大额对公转账）。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资金快进快出，不留余额，符合“跑分”洗钱特征。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根据《金融机构客户尽职调查和客户身份资料及交易记录保存管理办法》（2025年令第11号），对单笔人民币5000元或等值1000美元以上的境外汇款，银行必须加强审核。</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三、对个人的影响与应对建议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旦被“锁卡”，个人将在5年内面临暂停非柜面业务、支付账户所有业务，不得新开账户等惩戒，并可能影响征信。建议：定期通过“云闪付”APP“一键查卡”功能清理闲置账户；绝对不要出租、出借、出售自己的银行卡和支付账户；若账户被冻，应主动联系冻结机关，配合调查，提供合法资金来源证明以申请解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第三部分：国际业务中收到人民币的处理与国内业务的核心区别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一、国际业务中收到人民币需要结汇吗？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原则上不需要。 这是跨境人民币结算的核心优势。当中国企业与境外交易方约定以人民币计价结算时，境外支付的人民币属于跨境人民币。境内收款企业可以直接将其收入境内人民币账户，无需像收到外币那样必须办理结汇（即兑换成人民币）。政策依据是跨境人民币结算试点政策及《人民币跨境支付系统业务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但需注意：收款银行仍需对该笔跨境人民币进行真实性审核，企业需提供合同、发票、报关单（货物贸易）或服务证明等材料，以证明交易背景真实合法。资金性质属于经常项目（贸易、服务）还是资本项目（投资、借款），决定了后续的申报和管理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二、国内业务收支人民币与国际业务收支人民币的核心区别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国内业务与国际业务中的人民币收支，虽然币种相同，但在资金性质、监管核心、操作流程、税收影响和政策便利性上存在根本性差异。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在资金性质上，国内业务收支的人民币属于纯粹的境内资金，资金在境内银行体系内循环。而国际业务收支的人民币属于跨境人民币，其资金流动跨越了国境，因此被纳入我国的国际收支统计与管理范畴。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在监管核心与法规依据上，国内业务主要受国内支付结算、反洗钱、税收等一般性法规约束。而国际业务除了要遵守前述法规，还必须专门遵守跨境人民币结算管理的各项规定，并履行严格的国际收支统计申报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在关键操作环节上，国内业务的交易双方均为境内主体，资金通过境内的大小额支付系统、网上支付跨行清算系统等完成划转。国际业务则至少涉及一方境外主体，资金划转需要通过人民币跨境支付系统（CIPS）或代理行模式进行。最重要的是，任何一笔跨境人民币收支，无论金额大小，收款方或付款方都必须通过银行向国家外汇管理局办理国际收支申报，明确申报交易性质（如货物贸易、服务贸易、直接投资等）。同时，银行会对跨境交易的背景进行比国内业务更为严格和穿透式的真实性、合规性审核。</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在税收影响上，国内业务按国内税法规定处理。国际业务则可能触发特殊的跨境税收事项，例如，货物贸易出口收取跨境人民币，可以凭相关单证办理出口退税；而向境外支付服务费，支付方则可能负有代扣代缴增值税和企业所得税的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在政策便利性上，国内业务流程已高度标准化。对于国际业务，国家为鼓励跨境人民币使用，对优质企业提供了更高程度的便利化政策，例如，其跨境人民币收付可在一定额度内免于逐笔提交合同、发票等原始单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简单总结：国内人民币收支是“体内循环”，而跨境人民币收支是“跨境流动”。后者虽然币种仍是人民币，但因其跨越国境，必须纳入国际收支统计，并接受更为严格的交易背景审核，以确保资金流动符合国家宏观管理和反洗钱要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第四部分：官方信息平台与业务办理渠道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政策查询与发布核心平台：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中国人民银行官方网站：http://www.pbc.gov.cn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用途：获取所有支付结算、货币金银、跨境人民币等领域最权威的法律法规、部门规章、规范性文件原文及官方解读。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市场主体信息公示与查询平台：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国家企业信用信息公示系统：http://www.gsxt.gov.cn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用途：查询非银行支付机构等市场主体的注册信息、行政许可、行政处罚等。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业务办理统一入口（以广东省为例）：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广东政务服务网：https://www.gdzwfw.gov.cn/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用途：办理企业开办、对外贸易经营者备案等多项涉企服务。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总结：当前人民币支付结算监管的核心逻辑是 “便利合规，严打非法” 。一方面通过CIPS等基础设施大力推动跨境人民币使用，便利合法贸易投资；另一方面通过“断卡行动”和穿透式监管，严厉打击利用支付账户从事的违法犯罪活动。企业和个人必须牢固树立合规意识，确保每一笔资金流动，尤其是跨境流动，都有真实、完整的交易背景支撑，方能保障自身金融通道的畅通与安全。</w:t>
      </w:r>
    </w:p>
    <w:p w14:paraId="096206B6">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32. 筹资 / 金融机构借入 / 金融机构借入</w:t>
      </w:r>
    </w:p>
    <w:p w14:paraId="0B60931F">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《外汇法律制度》</w:t>
      </w:r>
    </w:p>
    <w:p w14:paraId="7C461E09">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现行外汇支付结算政策体系、国际收支风险防控与企业实务操作全指南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本指南旨在系统梳理现行有效的外汇支付结算核心政策法规，深入剖析国际收支结算全流程中的主要风险，并提供企业开展国际业务（收付外汇、对外投资及收益汇回）的详细操作指引与法律依据。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第一部分：现行外汇支付结算核心政策法规体系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我国外汇管理实行以《中华人民共和国外汇管理条例》为纲领，辅以部门规章和规范性文件的多层次监管体系，国家外汇管理局是主管机关。</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一、法律与行政法规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外汇管理条例》（国务院令第532号）：2008年8月1日修订通过，是外汇管理的基础性行政法规。其核心原则包括：经常项目外汇收支不予限制（第五条），但须具有真实、合法的交易基础（第十二条）；资本项目外汇收支需依法办理登记或批准（第十六条、第十七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《中华人民共和国反洗钱法》：为外汇支付结算中的客户身份识别、可疑交易报告等反洗钱义务提供法律依据。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二、重要部门规章与规范性文件（现行有效）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金融机构客户尽职调查和客户身份资料及交易记录保存管理办法》（中国人民银行、国家金融监督管理总局、中国证券监督管理委员会令〔2025〕第11号）：自2026年1月1日起施行。该办法是当前反洗钱监管的核心文件，明确对单笔人民币5000元或等值1000美元以上的境外汇款，金融机构必须核实汇款人身份信息并完整传递，保存期限延长至至少10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《国家外汇管理局关于深化跨境投融资外汇管理改革有关事宜的通知》：2025年发布，是当前优化跨境投融资便利化、支持贸易新业态（如跨境电商）的核心操作指引。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《跨国公司外汇资金集中运营管理规定》及本外币一体化资金池政策：相关政策正在全国推广，为跨国公司跨境资金集中运营提供便利。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《银行间外汇市场管理规定》（中国人民银行令〔2025〕第13号）：自2026年2月1日起施行，规范外汇市场交易行为。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三、政策动态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根据2026年全国外汇管理工作会议部署，国家外汇管理局正在推进《外汇管理条例》的修订工作，并将在全国范围内实施跨国公司本外币跨境资金集中运营管理政策，进一步深化便利化改革。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第二部分：国际收支结算过程中的主要风险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一、合规与监管风险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定义：因违反外汇管理、反洗钱、反恐怖融资、经济制裁等法规而遭受行政处罚、法律追责及声誉损失的风险。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具体表现与政策依据：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逃汇风险：违反规定将境内外汇转移境外。依据《外汇管理条例》第三十九条，可处逃汇金额30%以下罚款；情节严重的，处逃汇金额30%以上等值以下罚款。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套汇风险：以虚假、无效的交易单证向金融机构骗购外汇。依据《外汇管理条例》第四十条，可处非法套汇金额30%以下罚款；情节严重的，处非法套汇金额30%以上等值以下罚款。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反洗钱风控失效风险：未按规定履行客户尽职调查、识别并报告可疑交易。依据《金融机构客户尽职调查办法》，金融机构必须对规定金额以上的交易进行核实，否则将面临监管处罚。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业务真实性风险：经常项目外汇收支缺乏真实、合法的交易背景。依据《外汇管理条例》第十二条，经营结汇、售汇业务的金融机构必须对交易单证进行合理审查，外汇管理机关有权监督检查。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二、操作与信用风险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定义：因内部流程缺陷、人员失误、系统故障或交易对手违约导致的资金损失风险。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具体表现：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单证审核不严：受理伪造、无效或与交易不符的商业单据（合同、发票、提单），导致无法正常收汇或付汇。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支付指令错误：信息录入错误导致款项错付、延迟或无法追回。</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交易对手违约：进口商拖欠货款，或境外投资合作方不履行分红、回购义务。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银行操作风险：合作银行因内部问题导致支付中断或信息泄露。</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三、市场与汇率风险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定义：因汇率、利率等市场价格不利变动导致汇兑损失或融资成本增加的风险。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具体表现：从合同签订到实际收付汇期间，人民币与外币汇率波动可能侵蚀企业利润。对外债务可能因利率上升而加重利息负担。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四、投资与政治风险（针对对外投资）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定义：境外投资项目因东道国政策变化、政治动荡、外汇管制、战争等因素导致资产损失或收益无法汇回的风险。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具体表现：东道国突然加强外汇管制，限制利润汇出；或发生征收、国有化等政治事件。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第三部分：企业开展国际业务实务操作指引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一、基础准备：开立外汇账户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政策依据：《外汇管理条例》第七条规定，经营外汇业务的金融机构应按规定为客户开立外汇账户。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操作步骤：企业凭营业执照、组织机构代码证等基本材料，在具有外汇业务资格的银行开立经常项目外汇账户或资本项目外汇账户。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二、如何收到外汇（出口/服务收款）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签订合同：确保合同条款明确支付币种、金额、时间和方式。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货物出口/提供服务：办理报关（货物贸易）或留存服务提供证明。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通知收款：向境外付款方提供本企业的外汇账户信息（账户名、账号、开户行SWIFT代码）。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申报与入账：外汇到账后，银行会通知企业。企业需通过银行或数字外管平台（ASONE） 办理国际收支统计申报，说明款项性质（如货物贸易、服务贸易）。银行审核相关交易背景材料（合同、发票、报关单等）后，资金即可入账使用或结汇。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三、如何对外支付外汇（进口/服务付款）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合同与单证：准备真实有效的进口合同、发票、提单（货到付款）或服务证明。</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购汇申请：向银行提交购汇申请书及上述交易单证。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银行审核与支付：银行依据“了解客户、了解业务、尽职审查”原则，审核单证的真实性和一致性，审核通过后办理购汇并汇出。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四、如何对外投资（ODI）及分回投资收益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对外直接投资（ODI）属于资本项目，监管严格，必须履行备案/核准+外汇登记程序。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第一步：国内主管部门审批/备案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政策依据：《外汇管理条例》第十七条。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操作步骤：</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发改委核准/备案：根据投资金额、行业（是否敏感）和目的地（是否敏感国家/地区），向国家或地方发改委申请项目核准或备案，取得《境外投资项目备案通知书》或核准文件。敏感行业（如人工智能基础设施、6G通信、房地产等）和地区审核极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商务部核准/备案：向商务部门申请，取得《企业境外投资证书》。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第二步：办理外汇登记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操作步骤：凭上述两份文件，到企业基本户或指定合作银行办理境外直接投资外汇登记，获取《业务登记凭证》。这是资金合法出境的唯一凭证。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第三步：资金汇出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操作步骤：通过银行开立的ODI专用外汇账户，凭登记凭证、境外投资协议等材料，将资金汇至境外项目公司。严禁与日常经营账户混用。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第四步：投资收益汇回</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政策依据：《外汇管理条例》第九条，境内机构外汇收入可调回境内。</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操作步骤：境外企业产生利润后，境内投资主体可凭境外企业的董事会利润分配决议、完税证明以及境内企业的相关证明，通过银行将分红等收益汇回境内外汇账户。手续已大幅简化，通常无需额外审批。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五、利用便利化政策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贸易新业态：跨境电商、市场采购贸易等，可凭交易电子信息通过银行办理外汇结算，享受便利。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跨国公司资金池：符合条件的集团可备案开展本外币跨境资金集中运营，实现境内外资金余缺调剂，提高效率。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第四部分：官方信息平台与监管渠道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政策查询与发布核心平台：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国家外汇管理局官方网站：http://www.safe.gov.cn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用途：获取所有外汇管理法律法规、部门规章、规范性文件、政策解读及统计数据的最权威来源。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业务办理与数据报送平台：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数字外管平台（ASONE）：企业可通过该平台办理国际收支申报、贸易信贷报告等多项外汇业务。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各地政务服务网：如广东政务服务网 (https://www.gdzwfw.gov.cn/)，可办理对外贸易经营者备案等前置手续。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市场主体信息查询平台：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国家企业信用信息公示系统：http://www.gsxt.gov.cn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用途：核实交易对手或境外投资主体的基本信息（需结合境外查询工具）。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建议：当前外汇管理政策在“放管服”改革下持续便利化，但真实性审核、反洗钱和穿透式监管的要求空前严格。企业开展国际业务必须将合规置于首位：确保每笔跨境资金流动都有真实、完整的交易背景支撑；选择合规银行和支付渠道，严禁通过地下钱庄等非法渠道运作；对外投资前务必完成完整的ODI备案与外汇登记，切勿心存侥幸；积极利用跨境电商便利化、资金池等政策红利，同时借助银行提供的远期、期权等工具管理汇率风险。</w:t>
      </w:r>
    </w:p>
    <w:p w14:paraId="41B189AF">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33. 筹资 / 金融机构借入 / 金融机构借入</w:t>
      </w:r>
    </w:p>
    <w:p w14:paraId="53806816">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《票据法及结算凭证》</w:t>
      </w:r>
    </w:p>
    <w:p w14:paraId="6A2FB09D">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现行支付结算四大票据政策、风险与实务操作全指南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依据《中华人民共和国票据法》及中国人民银行相关规章，系统梳理银行汇票、商业汇票、银行本票和支票这四大支付结算票据的现行政策、核心风险及操作要点，并延伸说明国内信用证及其他主流结算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第一部分：四大票据现行政策核心依据与定义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我国票据业务遵循“法律-行政法规-部门规章”的监管体系，核心政策文件如下：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《中华人民共和国票据法》：票据领域的根本大法，规定了票据行为、权利、责任等基本原则。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支付结算办法》（银发〔1997〕393号）：中国人民银行制定的基础性操作规章。其第二十一条明确规定：“本办法所称票据，是指银行汇票、商业汇票、银行本票和支票。”该办法详细规定了各类票据的签发、承兑、背书、付款等具体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《商业汇票承兑、贴现与再贴现管理办法》（2022年修订）：由中国人民银行、原银保监会联合发布，是规范商业汇票（包括银行承兑汇票和商业承兑汇票）承兑、贴现等业务的核心监管文件。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第二部分：四大票据操作要点、主要风险与政策依据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一、银行汇票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定义与政策依据：根据《支付结算办法》第五十三条，银行汇票是出票银行签发的，由其在见票时按照实际结算金额无条件支付给收款人或者持票人的票据。适用于单位和个人各种款项结算，且可用于异地结算。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操作要点：申请人需向银行提交《银行汇票申请书》并足额交存票款；银行签发汇票后，收款人可背书转让或直接向银行提示付款；银行按实际结算金额付款，多余金额退回申请人账户。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遗失、被盗风险：票据为纸质凭证，一旦丢失需立即办理挂失止付并向法院申请公示催告，程序繁琐且期间资金冻结。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伪造、变造风险：需仔细鉴别票据防伪特征，如纸张、油墨、水印、安全线等。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政策依据：《票据法》第十五条规定了票据丧失后的救济程序；《支付结算办法》第四十八条至五十二条详细规定了银行汇票的签发、解付等流程。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二、商业汇票（分为银行承兑汇票与商业承兑汇票）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定义与政策依据：根据《支付结算办法》第七十二条，商业汇票是出票人签发的，委托付款人在指定日期无条件支付确定的金额给收款人或者持票人的票据。其最长期限已由《商业汇票承兑、贴现与再贴现管理办法》缩短为6个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操作要点：</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银行承兑汇票：由银行承兑，信用等级高。出票人向开户银行申请，银行审核后收取保证金和手续费并承兑。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商业承兑汇票：由企业承兑，依赖企业自身信用。可由付款人或收款人签发，经付款人承兑。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两类汇票均可背书转让，持票人可在到期前向银行申请贴现（支付利息提前变现）。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信用风险（特别是商业承兑汇票）：承兑人（企业）经营恶化，到期无力付款，导致持票人资金损失。根据《商业汇票承兑、贴现与再贴现管理办法》，承兑人应做到经营和财务状况良好，具备到期付款能力。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融资性风险：签发无真实贸易背景的票据进行套利，违反《支付结算办法》第二十二条“票据的签发、取得和转让，必须具有真实的交易关系和债权债务关系”的规定，可能面临监管处罚和票据无效的风险。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操作风险：未在法定期限内（自到期日起10日内）提示付款，将丧失对前手的追索权（依据《票据法》第五十三条）。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三、银行本票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定义与政策依据：根据《支付结算办法》第九十七条，银行本票是银行签发的，承诺自己在见票时无条件支付确定的金额给收款人或者持票人的票据。分为定额和不定额两种，仅限同城使用。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操作要点：申请人向银行提交《银行本票申请书》并交存款项；银行签发本票；收款人收到本票后，可背书转让或直接向银行提示付款，银行见票即付。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流通范围受限风险：仅限同城票据交换区域内使用，跨区域无效。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遗失风险：与银行汇票类似，纸质票据遗失处理程序复杂。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政策依据：《支付结算办法》第一百零一条规定，银行本票的提示付款期限自出票日起最长不得超过2个月。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四、支票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定义与政策依据：根据《支付结算办法》第一百一十四条，支票是出票人签发的，委托办理支票存款业务的银行在见票时无条件支付确定的金额给收款人或者持票人的票据。分为现金支票、转账支票和普通支票，仅限同城使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操作要点：出票人必须在银行有足够的存款；提示付款期限极短，为自出票日起10日；转账支票只能用于转账，现金支票只能用于支取现金。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主要风险：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空头支票风险：出票人签发金额超过其银行存款余额的支票。根据《票据法》第八十七条及《支付结算办法》第一百二十五条，签发空头支票将面临中国人民银行的行政处罚（按票面金额处以5%但不低于1000元的罚款），并可能被列入支付结算征信系统，影响企业信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印鉴不符风险：支票上的签章与银行预留印鉴不符，银行将拒付。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过期作废风险：超过10天提示付款期，银行不予受理，持票人只能向出票人追索。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第三部分：国内票据结算使用现状分析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根据中国人民银行发布的支付体系运行数据，在票据业务内部，各类票据的使用量差异巨大：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使用最多的是支票：其业务笔数约占票据业务总笔数的56%，金额约占60%。支票因其手续简便、成本低廉，在同城企业间小额、高频支付中占据主导地位。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商业汇票（尤其是银行承兑汇票）是重要组成部分：业务笔数约占44%，金额约占40%。它兼具支付和融资功能，在供应链金融、大宗商品贸易等中长期结算场景中不可或缺。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使用最少的是银行汇票和银行本票：两者业务笔数合计占比仅约0.23%，金额占比约0.29%。其式微的主要原因在于：电子支付的全面普及（网银、第三方支付）使得异地、跨行转账变得极其便捷且成本更低；同时，其固有的同城或区域使用限制、纸质票据的流转风险，也使其在数字化时代竞争力下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第四部分：国内信用证结算方式简介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国内信用证是适用于国内企事业单位之间货物和服务贸易的人民币计价、不可撤销的跟单信用证。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核心政策：《国内信用证结算办法》（中国人民银行 中国银行业监督管理委员会公告〔2016〕第10号）是其操作总纲。</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与商业汇票的核心区别：</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信用基础：信用证是银行信用，开证行承担第一性付款责任；商业承兑汇票是商业信用。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付款条件：信用证奉行“单证相符”原则，银行处理的是单据；汇票到期凭票付款。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期限：信用证付款期限最长可达1年，长于商业汇票的6个月。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融资：信用证项下可办理打包贷款、议付、福费廷（无追索权买断）等多种融资。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适用场景与风险：常用于买卖双方缺乏足够信任、交易金额较大的贸易，或用于特定场景（如电费、铁路运费支付）。主要风险包括单证不符被拒付的风险、利用虚假贸易背景开证进行融资套利的合规风险。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第五部分：国内外主要通用结算方式总结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一、国内常用结算方式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票据类：支票、银行汇票、商业汇票、银行本票。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结算凭证类：汇兑（电汇、信汇）、委托收款、托收承付。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信用工具类：国内信用证。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电子支付类：网上支付、移动支付（通过银行或非银行支付机构）。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二、国际常用结算方式（跨境）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汇付（Remittance）：主要是电汇（T/T），速度快，基于商业信用，风险由买卖双方自行承担。常见“前T/T”（对卖方有利）和“后T/T”（对买方有利）。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托收（Collection）：银行作为中介代收款项，分付款交单（D/P） 和承兑交单（D/A）。银行不承担付款责任，风险高于信用证。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信用证（L/C）：银行信用，安全性高，但手续复杂、费用高。是开拓新市场、与大客户交易的重要工具。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其他：赊销（O/A）、银行保函、国际保理等。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第六部分：官方信息平台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政策查询：中国人民银行官方网站 (http://www.pbc.gov.cn) 是查询所有票据、支付结算政策最权威的渠道。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票据市场基础设施：上海票据交易所 (http://www.shcpe.com.cn) 负责全国票据业务的统一运营。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国内信用证系统：中国人民银行清算总中心电子信用证信息交换系统（电证系统） 是国内信用证业务的主要运营平台。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票据结算仍是企业间大额支付的重要工具，但正快速向电子化、信用化（商业汇票）演进。企业选择结算方式时，应综合权衡交易对手信用、结算成本、资金占用期限及自身风险承受能力，确保在合规前提下，实现资金效率与安全的最佳平衡。</w:t>
      </w:r>
    </w:p>
    <w:p w14:paraId="7C2BF5C9">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34. 筹资 / 非金融机构借入 / 非金融机构借入</w:t>
      </w:r>
    </w:p>
    <w:p w14:paraId="65CCFB1C">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《借款合同》</w:t>
      </w:r>
    </w:p>
    <w:p w14:paraId="105552B8">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企业签订民间借贷《借款合同》全流程法律风险防范与合规操作指南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间民间借贷合同是企业作为出借人或借款人，进行资金融通的核心法律文件。其法律性质为借款合同，受到《中华人民共和国民法典》合同编的严格规制，并因涉及金融监管和公共利益，同时受到《最高人民法院关于审理民间借贷案件适用法律若干问题的规定》等司法解释的约束。与金融机构借款不同，民间借贷在合同效力、利率上限、担保程序等方面存在特殊规则和风险。一份条款严谨、手续完备的合同，是保障债权安全、控制融资成本、防范合同无效及刑事风险的关键。以下分别从出借人（债权人）和借款人（债务人）的双重视角，系统梳理签约与履约中的核心法律风险，并提供精细化、可操作的防范策略及法律依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第一部分：合同效力与主体资格的根本性风险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风险点一：企业间借贷合同因违反法律强制性规定而被认定无效。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根据司法解释，企业之间为了生产经营需要订立的民间借贷合同，原则上是有效的。但如果出借人的资金并非自有资金，而是以转贷牟利为目的，套取金融机构信贷资金后高利转贷，或者向其他企业借贷、向本单位职工集资取得的资金又转贷牟利，且借款人对此知情，该合同可能被认定为无效。合同无效的法律后果是返还本金，但约定的利息不受保护，且可能面临行政处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审理民间借贷案件适用法律若干问题的规定》（法释〔2020〕17号）第十三条：列举了民间借贷合同无效的几种情形，包括“套取金融机构贷款转贷的”、“以向其他营利法人借贷、向本单位职工集资，或者以向公众非法吸收存款等方式取得的资金转贷的”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《民法典》第一百五十三条：违反法律、行政法规的强制性规定的民事法律行为无效。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出借人需确保资金来源合法：在合同中可增加“承诺与保证”条款，由出借人声明“本合同项下出借资金为出借人合法所有的自有资金，不存在前述法律规定的无效情形”。同时，出借人应保留资金来源合法的相关凭证（如企业利润报表、股东出资证明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借款人应进行合理审查：在接洽时，可口头或书面询问出借人资金来源，避免因“明知”而卷入无效合同纠纷。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风险点二：签约主体不具备完全民事行为能力或偿债能力已严重恶化。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与已被吊销营业执照、进入破产程序或已被列为失信被执行人的企业签约。对于出借人而言，这意味着债权从源头上就难以实现；对于借款人而言，可能面临与一个即将丧失主体资格的对手方交易，导致合同履行基础丧失。</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签约前强制进行双向资信调查：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通过 “国家企业信用信息公示系统”（官方网址：http://www.gsxt.gov.cn）核查对方的工商注册信息、实缴资本、股东情况、经营状态及是否存在行政处罚或经营异常。</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通过 “中国执行信息公开网”（官方网址：http://zxgk.court.gov.cn）核查对方及其法定代表人是否为“失信被执行人”。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要求提供财务报表：对于大额借款，可要求对方提供近期的审计报告或财务报表，以评估其偿债能力。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第二部分：合同核心条款的约定风险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风险点三：借款本金数额与实际交付金额不一致，引发争议。</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实践中存在“砍头息”现象，即出借人在交付借款时预先扣除首期利息，但合同仍按原数额记载本金。根据法律规定，借款的利息不得预先在本金中扣除，否则应按实际出借金额认定本金。这会导致出借人主张的利息计算基础错误，甚至影响担保范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《民法典》第六百七十条：“借款的利息不得预先在本金中扣除。利息预先在本金中扣除的，应当按照实际借款数额返还借款并计算利息。”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采用银行转账方式支付：必须通过双方公司银行账户进行转账支付，并在备注中注明“借款本金”。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制作《借款凭证》或《收据》：在款项实际到达借款人账户后，由借款人出具《借款收据》，明确写明“今收到出借人XXX以银行转账方式支付借款本金人民币XX元”，并与银行回单一同作为合同附件。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风险点四：利率及利息计算方式约定不明或超过法定保护上限。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这是民间借贷最核心的风险点。约定的利率超过合同成立时一年期贷款市场报价利率（LPR）的四倍，超过部分的利息约定无效，不受法律保护。此外，复利（利滚利）的计算方式有严格限制，约定不当也可能不被支持。</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审理民间借贷案件适用法律若干问题的规定》（法释〔2020〕17号）第二十五条：“出借人请求借款人按照合同约定利率支付利息的，人民法院应予支持，但是双方约定的利率超过合同成立时一年期贷款市场报价利率四倍的除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同规定第二十七条：对复利计算进行了限制，前期利息计入后期本金需符合条件且最终本息和不得超过以最初本金为基数、按合同成立时LPR四倍计算的整个借款期间的利息和。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明确约定利率及计算方式：在合同中清晰写明“年利率为【X】%”，并注明该利率不超过合同成立当日公布的“一年期贷款市场报价利率（LPR）”的四倍。可附上LPR查询来源（如全国银行间同业拆借中心官网）。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避免约定过高的违约金：逾期还款的违约金或罚息，与利息合计后，实质利率标准也不得超过LPR四倍。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谨慎约定复利：如约定复利，必须明确计算周期和基数，并确保最终总额不超过法定上限。</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风险点五：借款用途违法或违反公序良俗。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风险内容：如果借款人将所借款项用于从事违法活动（如赌博、走私），而出借人对此明知或应知，则该借贷关系不受法律保护，本金可能被收缴。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《最高人民法院关于审理民间借贷案件适用法律若干问题的规定》（法释〔2020〕17号）第十三条：亦将“出借人事先知道或者应当知道借款人借款用于违法犯罪活动仍然提供借款的”情形列为合同无效。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在合同中明确约定合法用途：写入“借款人保证本合同项下借款仅用于【具体的合法经营用途，如采购原材料】，不用于任何违法活动”。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出借人保留适度监督权：可约定“出借人有权要求借款人提供与借款用途相关的合同、发票等凭证进行合理查验”。</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第三部分：担保措施的设立与登记风险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风险点六：保证担保约定不明，导致保证人脱保。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风险内容：未明确约定保证方式，根据《民法典》第六百八十六条，推定为一般保证，这意味着出借人必须在穷尽一切方式向借款人追偿无果后，才能要求保证人承担责任，极大地增加了债权实现的难度和成本。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《民法典》第六百八十六条：“保证的方式包括一般保证和连带责任保证…当事人在保证合同中对保证方式没有约定或者约定不明确的，按照一般保证承担保证责任。”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必须明确约定为“连带责任保证”：在保证条款或单独的《保证合同》中，清晰写明“保证人自愿为借款人的上述债务向出借人提供连带责任保证担保”。</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明确保证范围与期间：约定“保证范围包括本金、利息、违约金、损害赔偿金及出借人实现债权的全部费用（包括但不限于诉讼费、律师费、保全费等）”，并约定“保证期间为主债务履行期限届满之日起三年”。</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风险点七：动产抵押、权利质押未依法办理登记，担保物权未设立。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以企业的设备、原材料、产品等动产设定抵押，或以应收账款、股权、知识产权出质，法律规定必须办理登记，担保物权自登记之日起设立。若仅签订抵押/质押合同而未登记，则出借人（担保权人）不享有优先受偿权，担保形同虚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《民法典》第四百零三条：“以动产抵押的，抵押权自抵押合同生效时设立；未经登记，不得对抗善意第三人。”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《民法典》第四百四十五条：“以应收账款出质的，质权自办理出质登记时设立。”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《民法典》第四百四十三条：“以基金份额、股权出质的，质权自办理出质登记时设立。”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防范操作与登记机构：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动产抵押、应收账款质押登记：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登记机构：中国人民银行征信中心动产融资统一登记公示系统（简称“中登网”）。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法律依据：《国务院关于实施动产和权利担保统一登记的决定》（国发〔2020〕18号）。必须在此系统办理登记。应收账款质押登记是设立要件；动产抵押登记是对抗要件，但为获得优先权，必须登记。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股权出质登记：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登记机构：目标公司所在地的市场监督管理局（原工商局）。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查询网址：通过“国家企业信用信息公示系统”（http://www.gsxt.gov.cn）可查询股权出质登记信息。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操作：双方需共同向市场监督管理局申请办理股权出质设立登记。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专利权、商标专用权质押登记：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登记机构：国家知识产权局。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官方网址：https://www.cnipa.gov.cn （通过其“专利业务办理系统”或“商标网上服务系统”办理）。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操作：需签订书面质押合同并向国家知识产权局办理登记，质权自登记之日起设立。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第四部分：合同履行与债权保全的风险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风险点八：诉讼时效经过，导致债权“自然债务”化。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风险内容：普通诉讼时效为三年。如果出借人在借款到期后三年内从未向借款人主张过权利（且无时效中断事由），借款人获得时效抗辩权，出借人将丧失胜诉权，债权无法通过法院强制执行实现。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法律依据与条款：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《民法典》第一百八十八条：“向人民法院请求保护民事权利的诉讼时效期间为三年…诉讼时效期间自权利人知道或者应当知道权利受到损害以及义务人之日起计算。”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在合同中约定明确的送达地址：约定该地址适用于包括催收、通知、法律文书送达等一切联系，并明确“邮件发出之日即视为送达”。</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建立定期催收制度：在债务到期前及到期后，定期通过EMS快递发送《催款函》，并保留好邮寄凭证和函件内容，以中断诉讼时效。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争取达成新的还款协议：在时效临近届满时，与借款人协商达成新的还款计划，形成新的债权债务关系。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风险点九：证据材料缺失或保存不当。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风险内容：发生纠纷时，无法提供完整的证据链证明借款合同关系成立、本金已支付、利率已约定、担保已设立等关键事实，将承担举证不能的败诉风险。</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防范操作：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构建完整的证据文件包：包括但不限于：《借款合同》正本、所有附件（如担保合同、抵押/质押登记证明）、银行转账凭证、《借款收据》、历次《催款函》及送达凭证、双方就借款事宜的往来邮件、微信聊天记录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原件集中保管：所有书面证据的原件应由法务或财务部门统一保管于专用档案中。</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第五部分：官方信息查询与风险核查渠道汇总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企业在民间借贷活动全周期中，应充分利用以下官方平台进行风险核查与管理：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国家企业信用信息公示系统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查询机构：国家市场监督管理总局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官方网址：http://www.gsxt.gov.cn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核心用途：核查交易对手的合法存续状态、注册资本、股权结构、行政处罚及经营异常信息，是签约前最基本的资信调查工具。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中国执行信息公开网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查询机构：中华人民共和国最高人民法院</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官方网址：http://zxgk.court.gov.cn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核心用途：核查交易对手及其法定代表人是否为“失信被执行人”或被限制高消费，评估其债务履行能力和商业信誉。</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中国人民银行征信中心动产融资统一登记公示系统（中登网）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查询/登记机构：中国人民银行征信中心</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官方网址：https://www.zhongdengwang.org.cn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法律依据：《动产和权利担保统一登记办法》（中国人民银行令〔2021〕第7号）。</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核心用途：办理应收账款质押、融资租赁、保证金质押等动产和权利担保的登记与查询。这是确保担保物权设立和获得优先受偿权的法定必经程序。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总结与核心建议：企业民间借贷合同的风险管理核心在于 “主体合规、意思真实、利率合法、担保有效、证据齐全” 。出借人应始终将 “担保” 和 “证据” 作为风险控制的两大支柱，确保任何一笔借款都有足值、有效的担保措施，并确保从磋商到履约的全过程都有书面证据留存。借款人则应重点关注 “利率上限” 和 “资金用途” ，避免陷入高利贷陷阱或导致合同无效。无论作为哪一方，都必须摒弃“熟人关系”思维，严格按法律和合同办事，充分利用官方登记公示系统，将法律风险降至最低。在金融监管趋严的背景下，合规经营是企业长久发展的唯一路径。</w:t>
      </w:r>
    </w:p>
    <w:p w14:paraId="7948079C">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35. 投资 / 购买交易性金融资产 / 购买交易性金融资产</w:t>
      </w:r>
    </w:p>
    <w:p w14:paraId="132B475F">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《证券交易法》</w:t>
      </w:r>
    </w:p>
    <w:p w14:paraId="254A7B2D">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现行证券法政策体系、交易机构与企业发行实务全指南</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本指南依据《中华人民共和国证券法》及中国证监会相关规章，系统梳理现行证券法规体系、国内外主要交易场所，阐明证券市场的核心功能，并详细说明国内企业发行证券的条件与机构选择策略。</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第一部分：现行证券法政策文件核心体系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我国证券法律体系以《证券法》为根本，辅以国务院行政法规、证监会部门规章及规范性文件，构成多层次监管框架。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一、法律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华人民共和国证券法》：2019年12月28日由第十三届全国人大常委会第十五次会议修订通过，自2020年3月1日起施行。这是资本市场的“根本大法”，确立了全面推行注册制、强化投资者保护、大幅提高违法违规成本等核心制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二、行政法规与国务院文件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《国务院关于加强监管防范风险推动资本市场高质量发展的若干意见》（国发〔2024〕10号，俗称“新国九条”）：当前资本市场改革发展的顶层设计纲领性文件，为后续具体规则修订指明方向。</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三、核心部门规章与规范性文件（现行有效）</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发行上市类：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《上市公司证券发行注册管理办法》（证监会令第206号）：规范上市公司再融资（增发、配股、可转债）的注册程序。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《首次公开发行股票注册管理办法》（证监会令第205号）：规范各板块IPO的通用注册条件与程序。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科创板首次公开发行股票注册管理办法（试行）》、《创业板首次公开发行股票注册管理办法（试行）》、《北京证券交易所向不特定合格投资者公开发行股票注册管理办法》：分别针对科创板、创业板、北交所的IPO制定具体规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《公司债券发行与交易管理办法》（证监会令第222号）：规范公司债券的发行、交易、信息披露及受托管理。</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市场监管类：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《证券期货市场监督管理措施实施办法》（证监会令〔2025〕第11号）：自2026年6月30日起施行，明确责令改正、监管谈话、出具警示函等14类常用监管措施的实施原则与程序。</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《上市公司监督管理条例（征求意见稿）》：正在立法进程中，旨在提升上市公司治理水平，强化对财务造假等行为的全链条打击。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机构与人员类：</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《证券公司监督管理条例》（国务院令第653号）：规范证券公司的设立、业务规则及风险控制。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《证券发行上市保荐业务管理办法》（证监会令第207号）：规范保荐机构及其保荐代表人的职责。</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第二部分：国内与国际主要证券交易机构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一、国内主要证券交易场所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上海证券交易所（上交所）：定位服务大型成熟企业、硬科技企业和国民经济支柱产业。主要板块包括：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主板：服务于大型蓝筹企业。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科创板：服务于符合国家战略、突破关键核心技术、市场认可度高的科技创新企业。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深圳证券交易所（深交所）：定位服务成长型创新创业企业。主要板块包括：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主板：服务于相对成熟的大型企业。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创业板：服务于成长型创新创业企业，与科创板错位发展。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北京证券交易所（北交所）：定位服务创新型中小企业，由新三板精选层整体变更设立，与创新层、基础层形成层层递进的市场结构。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全国中小企业股份转让系统（新三板）：为非上市公众公司提供股份公开转让、融资、并购等服务的全国性证券交易场所，是北交所的孵化器。</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二、国际主要证券交易场所（举例）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纽约证券交易所（NYSE）：全球规模最大的交易所之一，以蓝筹股为主，上市标准严格。</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纳斯达克证券交易所（NASDAQ）：全球最大的电子交易市场之一，以科技股、成长股闻名。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伦敦证券交易所（LSE）：欧洲重要的金融中心，国际化程度高。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香港交易所（HKEX）：连接中国内地与国际市场的关键枢纽，是内地企业境外上市的主要目的地之一。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东京证券交易所（TSE）：日本最大的证券交易所。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第三部分：证券出现主要是为了解决什么问题？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证券市场的产生与发展，核心是为了解决现代经济发展中的三大核心问题，其立法目的在《证券法》第一条有明确阐述：“为了规范证券发行和交易行为，保护投资者的合法权益，维护社会经济秩序和社会公共利益，促进社会主义市场经济的发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具体解决的核心问题包括：</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企业直接融资难题：为企业（尤其是难以获得银行信贷支持的创新型、成长型企业）提供一条通过发行股票、债券等方式，直接从社会公众和机构投资者处募集长期发展资金的渠道，降低对间接融资的依赖。</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社会资源优化配置：通过市场化的定价和交易机制，将社会闲置资金引导至最具发展潜力和效率的行业与企业，实现资源的优化配置，推动经济结构调整和产业升级。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提供投资与价值发现平台：为公众和机构提供合法、规范的投资渠道，实现财富的保值增值。同时，通过持续的交易形成公允价格，实现对上市公司价值的“发现”功能。</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完善公司治理：企业成为公众公司后，需要接受严格的监管和信息披露要求，以及来自广大投资者的监督，这有助于推动企业建立现代企业制度，完善公司治理结构。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第四部分：国内企业发行证券需具备的条件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企业发行证券分为公开发行与非公开发行，此处主要阐述公开发行（即需要注册）的核心条件。具体条件因证券类型（股票、债券）和上市板块不同而有差异。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一、首次公开发行股票（IPO）的通用条件（依据《证券法》第十二条）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组织机构健全：具备健全且运行良好的组织机构。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持续经营能力：具有持续经营能力。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财务报告规范：最近三年财务会计报告被出具无保留意见审计报告。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主体资格合规：发行人及其控股股东、实际控制人最近三年不存在贪污、贿赂、侵占财产、挪用财产或者破坏社会主义市场经济秩序的刑事犯罪。</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5. 符合证监会规定的其他条件：证监会根据国务院授权，为各板块（科创板、创业板、北交所等）制定了差异化的上市标准，如市值、营收、研发投入、净利润等指标。</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二、公开发行公司债券的条件（依据《证券法》第十五条）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组织机构健全：具备健全且运行良好的组织机构。</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盈利能力要求：最近三年平均可分配利润足以支付公司债券一年的利息。</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募集资金用途合规：筹集的资金必须按照所列用途使用，不得用于弥补亏损和非生产性支出。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禁止再次发行的情形：对已公开发行的债券或其他债务有违约或延迟支付本息事实，仍处于继续状态的；或违反规定改变募集资金用途的，不得再次公开发行公司债券（依据《证券法》第十七条）。</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三、上市公司再融资（如增发、配股、可转债）</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需符合《上市公司证券发行注册管理办法》的规定，除满足基本的财务和合规要求外，还需重点关注募集资金使用的必要性和合理性，以及是否损害公司及中小股东利益。</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第五部分：如何选择适合自己的证券发行机构（交易所）</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选择上市地是一个综合性战略决策，企业应基于自身实际情况与各交易所定位进行匹配。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一、评估企业自身核心维度</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发展阶段与规模：是初创期、成长期还是成熟期？营收、利润、市值规模如何？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行业属性与科技创新属性：是否属于国家重点支持的硬科技、战略性新兴产业？研发投入占比、核心技术先进性如何？</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融资需求与未来发展：本次融资规模、资金用途，以及未来是否有持续的融资、并购重组需求。</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公司治理与合规基础：公司治理结构是否规范，内控是否健全，历史沿革是否清晰。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二、匹配各交易所板块定位</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科创板（上交所）：首选“硬科技”企业。强调科技创新能力，有明确的科创属性评价标准。适合研发投入高、技术壁垒强、但可能未盈利或存在特殊股权结构的企业。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创业板（深交所）：首选“三创四新”（创新、创造、创意，新技术、新产业、新业态、新模式）的成长型创新创业企业。对盈利要求相对灵活，但强调成长性。</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北交所：首选“专精特新”中小企业。上市门槛相对较低，与创新层有联动机制，适合尚处发展早期但具有创新潜力的中小企业。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主板（上交所/深交所）：首选业务模式成熟、经营业绩稳定、规模较大的行业龙头企业。对盈利、营收等指标要求最高。</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三、选择中介机构团队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发行上市离不开中介机构的专业服务。选择券商（保荐机构）、律师事务所、会计师事务所时，应重点考察：</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1. 项目经验与行业理解：是否成功运作过同行业、同类型的企业上市案例。</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2. 团队专业能力与投入程度：项目团队的核心成员经验、专业水平及时间投入保障。</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3. 沟通效率与协调能力：能否高效协调各方，与企业管理层顺畅沟通。</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4. 市场声誉与定价能力：在投资机构中的声誉和股票发行定价能力。</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第六部分：官方信息平台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政策法规核心发布平台：</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中国证券监督管理委员会（证监会）官方网站：http://www.csrc.gov.cn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用途：查询所有证券期货法律法规、部门规章、规范性文件、监管动态、行政许可及处罚信息的最权威渠道。</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各证券交易所官方网站：</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上海证券交易所：http://www.sse.com.cn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深圳证券交易所：http://www.szse.cn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北京证券交易所：http://www.bse.cn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全国中小企业股份转让系统（新三板）：http://www.neeq.com.cn</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 用途：查询各板块发行上市规则、审核问询、企业招股说明书、上市公告书等所有信息披露文件。</w:t>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br w:type="textWrapping"/>
      </w:r>
      <w:r>
        <w:rPr>
          <w:rStyle w:val="20"/>
          <w:rFonts w:hint="default" w:ascii="serif" w:hAnsi="serif" w:eastAsia="serif" w:cs="serif"/>
          <w:color w:val="333333"/>
          <w:sz w:val="24"/>
          <w:szCs w:val="24"/>
          <w:bdr w:val="none" w:color="auto" w:sz="0" w:space="0"/>
        </w:rPr>
        <w:t>总结：当前中国资本市场已进入全面注册制时代，制度包容性显著提升。企业应深入理解《证券法》为核心的规则体系，明确自身定位与发展战略，审慎选择与之匹配的上市板块及专业中介机构，在满足合规要求的前提下，借助资本市场实现高质量发展。</w:t>
      </w:r>
    </w:p>
    <w:p w14:paraId="088259FC">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36. 投资 / 长期股权投资 / 长期股权投资</w:t>
      </w:r>
    </w:p>
    <w:p w14:paraId="38564E96">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《公司法》</w:t>
      </w:r>
    </w:p>
    <w:p w14:paraId="45DE913E">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公司法对外投资</w:t>
      </w:r>
    </w:p>
    <w:p w14:paraId="1B59C05E">
      <w:pPr>
        <w:keepNext w:val="0"/>
        <w:keepLines w:val="0"/>
        <w:widowControl/>
        <w:suppressLineNumbers w:val="0"/>
        <w:pBdr>
          <w:top w:val="none" w:color="auto" w:sz="0" w:space="0"/>
          <w:left w:val="none" w:color="auto" w:sz="0" w:space="0"/>
          <w:bottom w:val="none" w:color="auto" w:sz="0" w:space="0"/>
          <w:right w:val="none" w:color="auto" w:sz="0" w:space="0"/>
        </w:pBdr>
        <w:shd w:val="clear" w:fill="409EFF"/>
        <w:spacing w:after="480" w:afterAutospacing="0"/>
        <w:jc w:val="left"/>
        <w:rPr>
          <w:rFonts w:hint="default" w:ascii="serif" w:hAnsi="serif" w:eastAsia="serif" w:cs="serif"/>
          <w:b/>
          <w:bCs/>
          <w:color w:val="FFFFFF"/>
          <w:sz w:val="26"/>
          <w:szCs w:val="26"/>
        </w:rPr>
      </w:pPr>
      <w:r>
        <w:rPr>
          <w:rFonts w:hint="default" w:ascii="serif" w:hAnsi="serif" w:eastAsia="serif" w:cs="serif"/>
          <w:b/>
          <w:bCs/>
          <w:color w:val="FFFFFF"/>
          <w:sz w:val="26"/>
          <w:szCs w:val="26"/>
          <w:bdr w:val="none" w:color="auto" w:sz="0" w:space="0"/>
          <w:shd w:val="clear" w:fill="409EFF"/>
        </w:rPr>
        <w:t>37. 投资 / 其他应收款 / 其他应收款</w:t>
      </w:r>
    </w:p>
    <w:p w14:paraId="7E6B106B">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事务描述：</w:t>
      </w:r>
      <w:r>
        <w:rPr>
          <w:rStyle w:val="20"/>
          <w:rFonts w:hint="default" w:ascii="serif" w:hAnsi="serif" w:eastAsia="serif" w:cs="serif"/>
          <w:color w:val="333333"/>
          <w:sz w:val="24"/>
          <w:szCs w:val="24"/>
          <w:bdr w:val="none" w:color="auto" w:sz="0" w:space="0"/>
        </w:rPr>
        <w:t>《借款合同》</w:t>
      </w:r>
    </w:p>
    <w:p w14:paraId="158A5B3D">
      <w:pPr>
        <w:keepNext w:val="0"/>
        <w:keepLines w:val="0"/>
        <w:widowControl/>
        <w:suppressLineNumbers w:val="0"/>
        <w:pBdr>
          <w:top w:val="none" w:color="409EFF" w:sz="8" w:space="0"/>
          <w:left w:val="single" w:color="409EFF" w:sz="8" w:space="12"/>
          <w:bottom w:val="single" w:color="409EFF" w:sz="8" w:space="12"/>
          <w:right w:val="single" w:color="409EFF" w:sz="8" w:space="12"/>
        </w:pBdr>
        <w:spacing w:after="200" w:afterAutospacing="0" w:line="32" w:lineRule="atLeast"/>
        <w:jc w:val="left"/>
        <w:rPr>
          <w:rFonts w:hint="default" w:ascii="serif" w:hAnsi="serif" w:eastAsia="serif" w:cs="serif"/>
          <w:color w:val="333333"/>
          <w:sz w:val="24"/>
          <w:szCs w:val="24"/>
        </w:rPr>
      </w:pPr>
      <w:r>
        <w:rPr>
          <w:rStyle w:val="19"/>
          <w:rFonts w:hint="default" w:ascii="serif" w:hAnsi="serif" w:eastAsia="serif" w:cs="serif"/>
          <w:color w:val="333333"/>
          <w:sz w:val="24"/>
          <w:szCs w:val="24"/>
          <w:bdr w:val="none" w:color="auto" w:sz="0" w:space="0"/>
        </w:rPr>
        <w:t>涉及法律：</w:t>
      </w:r>
      <w:r>
        <w:rPr>
          <w:rStyle w:val="20"/>
          <w:rFonts w:hint="default" w:ascii="serif" w:hAnsi="serif" w:eastAsia="serif" w:cs="serif"/>
          <w:color w:val="333333"/>
          <w:sz w:val="24"/>
          <w:szCs w:val="24"/>
          <w:bdr w:val="none" w:color="auto" w:sz="0" w:space="0"/>
        </w:rPr>
        <w:t>往来账就是借款</w:t>
      </w:r>
    </w:p>
    <w:sectPr>
      <w:pgSz w:w="11906" w:h="16839"/>
      <w:pgMar w:top="1440" w:right="1800" w:bottom="1440" w:left="180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serif">
    <w:altName w:val="苹方-简"/>
    <w:panose1 w:val="00000000000000000000"/>
    <w:charset w:val="00"/>
    <w:family w:val="auto"/>
    <w:pitch w:val="default"/>
    <w:sig w:usb0="00000000" w:usb1="00000000" w:usb2="00000000" w:usb3="00000000" w:csb0="00000000" w:csb1="00000000"/>
  </w:font>
  <w:font w:name="苹方-简">
    <w:altName w:val="Times New Roman"/>
    <w:panose1 w:val="020B0600000000000000"/>
    <w:charset w:val="00"/>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5FF19BB"/>
    <w:rsid w:val="79FF7E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EastAsia" w:hAnsiTheme="minorEastAsia" w:eastAsiaTheme="minorEastAsia" w:cstheme="minorEastAsia"/>
      <w:kern w:val="0"/>
      <w:sz w:val="24"/>
      <w:szCs w:val="24"/>
      <w:lang w:val="en-US" w:eastAsia="zh-CN" w:bidi="ar"/>
    </w:rPr>
  </w:style>
  <w:style w:type="paragraph" w:styleId="2">
    <w:name w:val="heading 1"/>
    <w:basedOn w:val="1"/>
    <w:next w:val="1"/>
    <w:qFormat/>
    <w:uiPriority w:val="0"/>
    <w:pPr>
      <w:spacing w:before="0" w:beforeAutospacing="0" w:after="400" w:afterAutospacing="0"/>
      <w:ind w:left="0" w:right="0"/>
      <w:jc w:val="center"/>
    </w:pPr>
    <w:rPr>
      <w:rFonts w:hint="eastAsia" w:ascii="宋体" w:hAnsi="宋体" w:eastAsia="宋体" w:cs="宋体"/>
      <w:b/>
      <w:bCs/>
      <w:kern w:val="44"/>
      <w:sz w:val="36"/>
      <w:szCs w:val="36"/>
      <w:lang w:val="en-US" w:eastAsia="zh-CN" w:bidi="ar"/>
    </w:rPr>
  </w:style>
  <w:style w:type="paragraph" w:styleId="3">
    <w:name w:val="heading 2"/>
    <w:basedOn w:val="1"/>
    <w:next w:val="1"/>
    <w:semiHidden/>
    <w:unhideWhenUsed/>
    <w:qFormat/>
    <w:uiPriority w:val="0"/>
    <w:pPr>
      <w:spacing w:before="480" w:beforeAutospacing="0" w:after="240" w:afterAutospacing="0"/>
      <w:ind w:left="0" w:right="0"/>
      <w:jc w:val="left"/>
    </w:pPr>
    <w:rPr>
      <w:rFonts w:hint="eastAsia" w:ascii="宋体" w:hAnsi="宋体" w:eastAsia="宋体" w:cs="宋体"/>
      <w:b/>
      <w:bCs/>
      <w:color w:val="409EFF"/>
      <w:kern w:val="0"/>
      <w:sz w:val="28"/>
      <w:szCs w:val="28"/>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7">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12">
    <w:name w:val="section-body"/>
    <w:basedOn w:val="1"/>
    <w:uiPriority w:val="0"/>
    <w:pPr>
      <w:pBdr>
        <w:top w:val="none" w:color="409EFF" w:sz="8" w:space="0"/>
        <w:left w:val="single" w:color="409EFF" w:sz="8" w:space="12"/>
        <w:bottom w:val="single" w:color="409EFF" w:sz="8" w:space="12"/>
        <w:right w:val="single" w:color="409EFF" w:sz="8" w:space="12"/>
      </w:pBdr>
      <w:jc w:val="left"/>
    </w:pPr>
    <w:rPr>
      <w:kern w:val="0"/>
      <w:lang w:val="en-US" w:eastAsia="zh-CN" w:bidi="ar"/>
    </w:rPr>
  </w:style>
  <w:style w:type="paragraph" w:customStyle="1" w:styleId="13">
    <w:name w:val="section-header"/>
    <w:basedOn w:val="1"/>
    <w:uiPriority w:val="0"/>
    <w:pPr>
      <w:pBdr>
        <w:top w:val="none" w:color="auto" w:sz="0" w:space="0"/>
        <w:left w:val="none" w:color="auto" w:sz="0" w:space="0"/>
        <w:bottom w:val="none" w:color="auto" w:sz="0" w:space="0"/>
        <w:right w:val="none" w:color="auto" w:sz="0" w:space="0"/>
      </w:pBdr>
      <w:shd w:val="clear" w:fill="409EFF"/>
      <w:jc w:val="left"/>
    </w:pPr>
    <w:rPr>
      <w:b/>
      <w:bCs/>
      <w:color w:val="FFFFFF"/>
      <w:kern w:val="0"/>
      <w:sz w:val="26"/>
      <w:szCs w:val="26"/>
      <w:lang w:val="en-US" w:eastAsia="zh-CN" w:bidi="ar"/>
    </w:rPr>
  </w:style>
  <w:style w:type="paragraph" w:customStyle="1" w:styleId="14">
    <w:name w:val="detail-line"/>
    <w:basedOn w:val="1"/>
    <w:uiPriority w:val="0"/>
    <w:pPr>
      <w:spacing w:after="200" w:afterAutospacing="0" w:line="32" w:lineRule="atLeast"/>
      <w:jc w:val="left"/>
    </w:pPr>
    <w:rPr>
      <w:kern w:val="0"/>
      <w:lang w:val="en-US" w:eastAsia="zh-CN" w:bidi="ar"/>
    </w:rPr>
  </w:style>
  <w:style w:type="paragraph" w:customStyle="1" w:styleId="15">
    <w:name w:val="detail-value"/>
    <w:basedOn w:val="1"/>
    <w:uiPriority w:val="0"/>
    <w:pPr>
      <w:jc w:val="left"/>
    </w:pPr>
    <w:rPr>
      <w:kern w:val="0"/>
      <w:lang w:val="en-US" w:eastAsia="zh-CN" w:bidi="ar"/>
    </w:rPr>
  </w:style>
  <w:style w:type="paragraph" w:customStyle="1" w:styleId="16">
    <w:name w:val="text-center"/>
    <w:basedOn w:val="1"/>
    <w:uiPriority w:val="0"/>
    <w:pPr>
      <w:jc w:val="center"/>
    </w:pPr>
    <w:rPr>
      <w:kern w:val="0"/>
      <w:lang w:val="en-US" w:eastAsia="zh-CN" w:bidi="ar"/>
    </w:rPr>
  </w:style>
  <w:style w:type="paragraph" w:customStyle="1" w:styleId="17">
    <w:name w:val="detail-label"/>
    <w:basedOn w:val="1"/>
    <w:uiPriority w:val="0"/>
    <w:pPr>
      <w:jc w:val="left"/>
    </w:pPr>
    <w:rPr>
      <w:b/>
      <w:bCs/>
      <w:kern w:val="0"/>
      <w:lang w:val="en-US" w:eastAsia="zh-CN" w:bidi="ar"/>
    </w:rPr>
  </w:style>
  <w:style w:type="paragraph" w:customStyle="1" w:styleId="18">
    <w:name w:val="section"/>
    <w:basedOn w:val="1"/>
    <w:uiPriority w:val="0"/>
    <w:pPr>
      <w:spacing w:after="480" w:afterAutospacing="0"/>
      <w:jc w:val="left"/>
    </w:pPr>
    <w:rPr>
      <w:kern w:val="0"/>
      <w:lang w:val="en-US" w:eastAsia="zh-CN" w:bidi="ar"/>
    </w:rPr>
  </w:style>
  <w:style w:type="character" w:customStyle="1" w:styleId="19">
    <w:name w:val="detail-label1"/>
    <w:basedOn w:val="11"/>
    <w:uiPriority w:val="0"/>
    <w:rPr>
      <w:b/>
      <w:bCs/>
    </w:rPr>
  </w:style>
  <w:style w:type="character" w:customStyle="1" w:styleId="20">
    <w:name w:val="detail-value1"/>
    <w:basedOn w:val="11"/>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154</Pages>
  <TotalTime>0</TotalTime>
  <ScaleCrop>false</ScaleCrop>
  <LinksUpToDate>false</LinksUpToDate>
  <Application>WPS Office_6.11.0.8885_F1E327BC-269C-435d-A152-05C5408002CA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2026-06-30T08:40:54Z</dcterms:created>
  <dc:creator>Data</dc:creator>
  <cp:lastModifiedBy>聂</cp:lastModifiedBy>
  <dcterms:modified xsi:type="dcterms:W3CDTF">2026-06-30T08:41:08Z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ICV">
    <vt:lpwstr>5B1B780CD65A5DC7A410436A986FAEB1_42</vt:lpwstr>
  </property>
</Properties>
</file>