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line="360" w:lineRule="auto"/>
        <w:jc w:val="center"/>
        <w:rPr>
          <w:rFonts w:hint="eastAsia" w:ascii="微软雅黑" w:hAnsi="微软雅黑" w:eastAsia="微软雅黑" w:cs="微软雅黑"/>
          <w:b/>
          <w:sz w:val="30"/>
        </w:rPr>
      </w:pPr>
      <w:r>
        <w:rPr>
          <w:rFonts w:hint="eastAsia" w:ascii="微软雅黑" w:hAnsi="微软雅黑" w:eastAsia="微软雅黑" w:cs="微软雅黑"/>
          <w:b/>
          <w:sz w:val="36"/>
        </w:rPr>
        <w:t>保密与知识产权协议</w:t>
      </w:r>
    </w:p>
    <w:p>
      <w:pPr>
        <w:pStyle w:val="5"/>
        <w:spacing w:before="0" w:beforeAutospacing="0" w:after="0" w:afterAutospacing="0" w:line="360" w:lineRule="auto"/>
        <w:rPr>
          <w:rFonts w:hint="eastAsia" w:ascii="微软雅黑" w:hAnsi="微软雅黑" w:eastAsia="微软雅黑" w:cs="微软雅黑"/>
          <w:color w:val="000000"/>
        </w:rPr>
      </w:pPr>
      <w:r>
        <w:rPr>
          <w:rFonts w:hint="eastAsia" w:ascii="微软雅黑" w:hAnsi="微软雅黑" w:eastAsia="微软雅黑" w:cs="微软雅黑"/>
          <w:b/>
          <w:color w:val="000000"/>
        </w:rPr>
        <w:t>甲方（用人单位）</w:t>
      </w:r>
    </w:p>
    <w:p>
      <w:pPr>
        <w:pStyle w:val="5"/>
        <w:spacing w:before="0" w:beforeAutospacing="0" w:after="0" w:afterAutospacing="0" w:line="360" w:lineRule="auto"/>
        <w:rPr>
          <w:rFonts w:hint="eastAsia" w:ascii="微软雅黑" w:hAnsi="微软雅黑" w:eastAsia="微软雅黑" w:cs="微软雅黑"/>
          <w:color w:val="000000"/>
          <w:lang w:val="en-US" w:eastAsia="zh-CN"/>
        </w:rPr>
      </w:pPr>
      <w:r>
        <w:rPr>
          <w:rFonts w:hint="eastAsia" w:ascii="微软雅黑" w:hAnsi="微软雅黑" w:eastAsia="微软雅黑" w:cs="微软雅黑"/>
          <w:color w:val="000000"/>
        </w:rPr>
        <w:t>名称：</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p>
    <w:p>
      <w:pPr>
        <w:pStyle w:val="5"/>
        <w:spacing w:before="0" w:beforeAutospacing="0" w:after="0" w:afterAutospacing="0" w:line="360" w:lineRule="auto"/>
        <w:rPr>
          <w:rFonts w:hint="eastAsia" w:ascii="微软雅黑" w:hAnsi="微软雅黑" w:eastAsia="微软雅黑" w:cs="微软雅黑"/>
          <w:color w:val="000000"/>
        </w:rPr>
      </w:pPr>
      <w:r>
        <w:rPr>
          <w:rFonts w:hint="eastAsia" w:ascii="微软雅黑" w:hAnsi="微软雅黑" w:eastAsia="微软雅黑" w:cs="微软雅黑"/>
          <w:color w:val="000000"/>
        </w:rPr>
        <w:t>统一社会信用代码：</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p>
    <w:p>
      <w:pPr>
        <w:pStyle w:val="5"/>
        <w:spacing w:before="0" w:beforeAutospacing="0" w:after="0" w:afterAutospacing="0" w:line="360" w:lineRule="auto"/>
        <w:rPr>
          <w:rFonts w:hint="eastAsia" w:ascii="微软雅黑" w:hAnsi="微软雅黑" w:eastAsia="微软雅黑" w:cs="微软雅黑"/>
          <w:color w:val="000000"/>
        </w:rPr>
      </w:pPr>
      <w:r>
        <w:rPr>
          <w:rFonts w:hint="eastAsia" w:ascii="微软雅黑" w:hAnsi="微软雅黑" w:eastAsia="微软雅黑" w:cs="微软雅黑"/>
          <w:b/>
          <w:color w:val="000000"/>
        </w:rPr>
        <w:t>乙方（劳动者）</w:t>
      </w:r>
    </w:p>
    <w:p>
      <w:pPr>
        <w:pStyle w:val="5"/>
        <w:spacing w:before="0" w:beforeAutospacing="0" w:after="0" w:afterAutospacing="0" w:line="360" w:lineRule="auto"/>
        <w:rPr>
          <w:rFonts w:hint="eastAsia" w:ascii="微软雅黑" w:hAnsi="微软雅黑" w:eastAsia="微软雅黑" w:cs="微软雅黑"/>
          <w:color w:val="000000"/>
        </w:rPr>
      </w:pPr>
      <w:r>
        <w:rPr>
          <w:rFonts w:hint="eastAsia" w:ascii="微软雅黑" w:hAnsi="微软雅黑" w:eastAsia="微软雅黑" w:cs="微软雅黑"/>
          <w:color w:val="000000"/>
        </w:rPr>
        <w:t>姓名：</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p>
    <w:p>
      <w:pPr>
        <w:pStyle w:val="5"/>
        <w:spacing w:before="0" w:beforeAutospacing="0" w:after="0" w:afterAutospacing="0" w:line="360" w:lineRule="auto"/>
        <w:rPr>
          <w:rFonts w:hint="eastAsia" w:ascii="微软雅黑" w:hAnsi="微软雅黑" w:eastAsia="微软雅黑" w:cs="微软雅黑"/>
          <w:color w:val="000000"/>
        </w:rPr>
      </w:pPr>
      <w:r>
        <w:rPr>
          <w:rFonts w:hint="eastAsia" w:ascii="微软雅黑" w:hAnsi="微软雅黑" w:eastAsia="微软雅黑" w:cs="微软雅黑"/>
          <w:color w:val="000000"/>
        </w:rPr>
        <w:t>身份证号码：</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p>
    <w:p>
      <w:pPr>
        <w:pStyle w:val="5"/>
        <w:spacing w:before="0" w:beforeAutospacing="0" w:after="0" w:afterAutospacing="0" w:line="360" w:lineRule="auto"/>
        <w:ind w:firstLine="480" w:firstLineChars="200"/>
        <w:rPr>
          <w:rFonts w:hint="eastAsia" w:ascii="微软雅黑" w:hAnsi="微软雅黑" w:eastAsia="微软雅黑" w:cs="微软雅黑"/>
          <w:color w:val="000000"/>
        </w:rPr>
      </w:pPr>
      <w:r>
        <w:rPr>
          <w:rFonts w:hint="eastAsia" w:ascii="微软雅黑" w:hAnsi="微软雅黑" w:eastAsia="微软雅黑" w:cs="微软雅黑"/>
          <w:color w:val="000000"/>
        </w:rPr>
        <w:t>鉴于乙方系甲方员工（工作岗位：</w:t>
      </w:r>
      <w:r>
        <w:rPr>
          <w:rFonts w:hint="eastAsia" w:ascii="微软雅黑" w:hAnsi="微软雅黑" w:eastAsia="微软雅黑" w:cs="微软雅黑"/>
          <w:color w:val="000000"/>
          <w:u w:val="single"/>
        </w:rPr>
        <w:t>以双方约定为准</w:t>
      </w:r>
      <w:r>
        <w:rPr>
          <w:rFonts w:hint="eastAsia" w:ascii="微软雅黑" w:hAnsi="微软雅黑" w:eastAsia="微软雅黑" w:cs="微软雅黑"/>
          <w:color w:val="000000"/>
        </w:rPr>
        <w:t>），双方经平等自愿协商，根据《中华人民共和国民法典》及相关法规，就乙方保密及知识产权事宜，签订本合同以共同遵守。</w:t>
      </w:r>
    </w:p>
    <w:p>
      <w:pPr>
        <w:pStyle w:val="3"/>
        <w:spacing w:before="0" w:beforeAutospacing="0" w:after="0" w:afterAutospacing="0" w:line="360" w:lineRule="auto"/>
        <w:jc w:val="center"/>
        <w:rPr>
          <w:rFonts w:hint="eastAsia" w:ascii="微软雅黑" w:hAnsi="微软雅黑" w:eastAsia="微软雅黑" w:cs="微软雅黑"/>
          <w:b/>
          <w:sz w:val="28"/>
        </w:rPr>
      </w:pPr>
      <w:r>
        <w:rPr>
          <w:rFonts w:hint="eastAsia" w:ascii="微软雅黑" w:hAnsi="微软雅黑" w:eastAsia="微软雅黑" w:cs="微软雅黑"/>
          <w:b/>
          <w:sz w:val="28"/>
        </w:rPr>
        <w:t>第一部分 保密</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保密内容及范围</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乙方同意对甲方或者虽属于甲方客户（含意向客户）等第三方但甲方负有保密义务的一切保密信息在保密期内予以严格保密。</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本协议中的“保密信息”是指乙方在甲方工作期间接触到的甲方、甲方客户及甲方关联客户的任何形式的秘密信息，包括但不限于如下所列：</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任何甲方、甲方客户及甲方关联客户不欲公开的观点、发现、发明、公式、程序、计划、图表、模型、参数、数据、标准、商业秘密、专有技术以及任何知识产权等；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甲方、甲方客户及甲方关联客户制作或拥有的任何形式的报告、访谈记录、数据、信件、电子邮件、报表、模型以及其他文件的原件或副件；</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甲方、甲方客户及甲方关联客户的技术资料或秘密、经营情况、经营策略及经营信息、客户信息、客户经营状况等；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甲方内外部项目的项目建议书、项目计划、报价、协议、项目研究方法和工具、培训资料和工具以及项目成果等；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甲方内部不欲公开或未经公开的公司制度、文件、决议、消息和公司运营情况等；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任何甲方、甲方客户及甲方关联客户不欲公开的关于财务、成本、利润、市场、销售、协议、采购等渠道.客户.经销商信息等。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甲方的客户或潜在客户信息，包括但不限于其身份及其他相关信息、客户联系方式和客户销售策略等；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下列信息亦属于甲方的重要保密信息：</w:t>
      </w:r>
      <w:r>
        <w:rPr>
          <w:rFonts w:hint="eastAsia" w:ascii="微软雅黑" w:hAnsi="微软雅黑" w:eastAsia="微软雅黑" w:cs="微软雅黑"/>
          <w:color w:val="000000"/>
          <w:u w:val="single"/>
        </w:rPr>
        <w:t>请填充</w:t>
      </w:r>
      <w:r>
        <w:rPr>
          <w:rFonts w:hint="eastAsia" w:ascii="微软雅黑" w:hAnsi="微软雅黑" w:eastAsia="微软雅黑" w:cs="微软雅黑"/>
          <w:color w:val="000000"/>
        </w:rPr>
        <w:t>。</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乙方承认，上述“保密信息”均为甲方的保密信息。本协议不仅适用于乙方在本协议签订之后接触的保密信息，也适用于乙方在本协议生效日期前接触的所有保密信息。</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乙方确认，如果对是否属于保密信息存在争议或不太明确，则乙方应按保密信息进行处理，除非得到甲方或乙方上级的明确否认。 </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乙方的保密义务</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乙方同意为甲方公司利益尽最佳努力，在提供服务或双方合作期间不组织、参加或计划组织、参加任何竞争企业，或从事任何不正当使用甲方商业秘密的行为。</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为甲方提供服务或双方合作期间，应严格遵守甲方规定的任何成文或不成文的保密规章、制度，履行与其服务内容相应的保密职责；若甲方的保密规章、制度没有规定或者规定不明确之处，乙方亦应本着谨慎、诚实的态度，采取任何必要、合理的措施，维护其于任职期间知悉或者持有的保密信息。</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甲方或乙方上级在职权范围内就保密事宜对乙方提出的要求与指示，乙方应予执行，并作为本协议约定的保密义务的一部分。</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乙方同意对保密信息予以严格保密，承担的保密义务包括但不限于：</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乙方因某一项目而从甲方、甲方客户或甲方关联客户处获得的保密信息，乙方承诺只在进行该项目或与该项目紧密相关的项目研究时使用，绝不为与该项目无关的目的使用该保密信息；</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乙方应对甲方、甲方客户或甲方关联客户交到自己手中的保密信息予以妥善保存，不得泄漏或遗失，在未经甲方事先书面许可，不得私自保留或复制、记录；</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非经甲方事先书面许可，乙方不得直接或间接地以任何方式或向任何第三方（任何第三方，包括除甲方该项目组人员以外的任何机构和人员）披露或透露保密信息；亦不得依据保密信息，就任何问题，向任何第三方做出任何建议；</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当甲方、甲方客户或甲方关联客户要求乙方交回保密信息时（无论出于何种理由），乙方应立即将保密信息（及保密信息的载体.复制品等）完整交回；</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根据甲方的要求，如实向甲方提供保密信息的使用记录；</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乙方在离职时或任何时候甲方提出要求时，须将一切保密信息（及保密信息的载体、复制品等）在甲方要求的时间内交还甲方；</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离职后，应严格遵守相关法律规定，以及以上各项保密义务，不得以任何方式利用、传播、披露所掌握或知悉的保密信息，不得利用所掌握或知悉的保密信息从事损害甲方利益或可能对甲方利益造成不利影响的活动，包括向乙方之后任职单位披露或使用保密信息，为乙方自营企业利益使用保密信息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无论在职期间或离职后，乙方均不得劝诱及参与招聘甲方其它员工到甲方的竞争单位工作。</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在职期间，未经甲方同意，乙方不得与甲方客户有私下交易或金钱往来。</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保密信息的保密期是指：乙方在职或离职后，甲方、甲方客户或甲方关联客户对外公布保密信息，或者保密信息为公众所知之前的任何时间。</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特别是，下列任何一行为均属于违反保密义务之列：</w:t>
      </w:r>
      <w:r>
        <w:rPr>
          <w:rFonts w:hint="eastAsia" w:ascii="微软雅黑" w:hAnsi="微软雅黑" w:eastAsia="微软雅黑" w:cs="微软雅黑"/>
          <w:color w:val="000000"/>
          <w:u w:val="single"/>
        </w:rPr>
        <w:t>请填充</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离职后，乙方不得（包括不得自行及不得通过乙方所在单位）与原甲方客户进行与甲方业务相同或类似的业务或交易；如原甲方客户联系乙方，则乙方应将该信息告知甲方或要求原甲方客户与甲方联系。否则亦属于违反保密义务。</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有关确认</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就本协议的履行，甲方无需额外向乙方支付费用或报酬，除非双方另有约定。</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乙方确认，已经知悉并理解甲方的下列制度，并同意遵守执行：</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《员工手册》、《保密制度》。</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甲方有权不定期的修改、补充、发布有关保密的制度与作法，并通过电子邮件、公司网络平台等进行发布，乙方同意经常查收相关文件，并遵照执行。</w:t>
      </w:r>
    </w:p>
    <w:p>
      <w:pPr>
        <w:pStyle w:val="3"/>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rPr>
      </w:pPr>
      <w:r>
        <w:rPr>
          <w:rFonts w:hint="eastAsia" w:ascii="微软雅黑" w:hAnsi="微软雅黑" w:eastAsia="微软雅黑" w:cs="微软雅黑"/>
          <w:b/>
        </w:rPr>
        <w:t>第二部分 知识产权部分</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定义</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知识产权：是指已注册和未注册的、包括进行了注册申请的专利、专利申请权、商标、服务标志、标识、形象、商号、互联网域名、设计权、版权(包括计算机软件的版权)、数据库权利、半导体设计图权利、实用新型、专有技术和其他知识产权，以及在世界各地相同或相似效果的其他所有的权利或保护形式，不论其表现为何种形式，记载于何种载体，无论是否登记。</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职务作品：是指乙方为完成甲方的工作任务而创作的作品，包括但不限于：所有作品、论文、报告、文件、图画、肖像、产品理念、服务理念、照片、底片、录音/像带和母带、电脑程序、源代码、结果代码、原型、研究数据和文件、样本、日志、报告和其他材料（总称“职务产品”）。</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特别是，下列作品属于职务作品（非全部）：</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（1）</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（2）</w:t>
      </w:r>
      <w:r>
        <w:rPr>
          <w:rFonts w:hint="eastAsia" w:ascii="微软雅黑" w:hAnsi="微软雅黑" w:eastAsia="微软雅黑" w:cs="微软雅黑"/>
          <w:color w:val="000000"/>
          <w:u w:val="single"/>
        </w:rPr>
        <w:t>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知识产权归属 </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有下列条件情况之一的，乙方完成的知识产权和职务作品全部属于甲方：</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受聘期间在本职工作中完成的知识产权和职务作品；</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履行甲方交付的本职工作之外的任务所研发的知识产权和职务作品；</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退职、退休或者调动工作后两年内研发的与其在甲方承担的本职工作或者甲方交付的任务有关的知识产权和职务作品；</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主要利用甲方的资金、设备、零部件、原材料或者不对外公开的技术材料等所研发的知识产权和职务作品；</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乙方在甲方任职期间所完成的知识产权和职务作品。</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除非乙方证明不符合上述条件，否则在乙方在职期间以及离职后两年内形成的与乙方工作相关的作品或产品，均属于职务作品，全部知识产权应属于甲方。</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乙方同意，在受雇甲方期间及其离职后，如为甲方合法取得或维持上述知识产权和职务作品的所有权所需要，乙方将按照甲方的要求签署有关文件或提供必要的协助。</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承诺，在任何时间，仅为甲方利益、并按甲方所要求的方式使用本协议第一条规定的知识产权和职务作品；非经甲方的书面授权，不对其作任何形式的处分/处置。在与甲方的聘用关系解除或者终止后，立即停止对前述知识产权和职务作品的一切使用行为。</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承诺，从甲方离职时（无论因何种原因），应向甲方归还（并且不会保留、另行研制或交给他人）所有的装置、档案、数据、记录、报告、列表、商业信函、说明书、图表、设计图、草稿、原料、设备，其它文件或财产及应该归还甲方的一切物品，或任何乙方任职期间就前述各项内容所做的复制品或者其它属于甲方或其承继人或指定人员的所有物品。</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任职前发明/作品</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任职前发明/作品的定义：是指乙方在受雇于甲方之前所创作的且为乙方所拥有的与甲方的业务、产品、研究和开发有关且未转让给甲方的所有发明、原创作品（包括但不限于计算机软件）、开发、改进、商业秘密等。</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披露：除非有任何在先的保密协议限制乙方向甲方披露任职前发明/作品，否则，乙方应就任职前发明/作品及其所附的任何权利行使的限制向甲方做出声明，并将记录这些内容的列表以附表的形式附在本协议后。乙方承诺在附表所做的陈述是真实、完整的。在遵照本款前述披露要求的前提下，如乙方未进行相应的告知且未附上该附表，即表示乙方并无此种任职前发明/作品。</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保留：乙方保留对任职前发明/作品的完全的所有权及相关的知识产权。但乙方若在甲方任职期间，向第三方转让任职前发明/作品，在同等条件下，甲方应当享有优先受让权。</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许可</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在乙方于甲方任职期间，如乙方将任职前发明/作品运用到甲方的计算机软件、产品、工艺或机器装置（以下称“甲方产品”）中，则甲方将被视作授予一项许可，有权对上述所涉任职前发明/作品（“所涉任职前发明/作品”）进行制作、委托他人制作、修改、使用和销售，无论所涉任职前发明/作品是作为甲方产品一部分或与甲方产品有关。前句所述授予甲方的许可应当是非独占的、免专利许可费的、不可撤销的、永久的、全球性的许可。</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乙方应当保证其对所涉任职前发明/作品具有合法的处分权。若任何第三方向甲方提起与所涉任职前发明/作品相关的权利主张，则乙方应当赔偿甲方，使之免遭任何的赔偿、费用、支出和责任的损失。</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乙方向第三方转让所涉任职前发明/作品，应当向第三方告之甲方享有的非独占的、免专利许可费的、不可撤销的、永久的、全球性的许可，并保证甲方始终享有该等许可。</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竞业限制与非侵权承诺</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乙方承诺，在受聘甲方期间，不侵犯本协议第一条所列知识产权和职务作品，不侵犯第三方知识产权，否则将承担由此而引发的相应的法律责任和经济赔偿责任。</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乙方声明，此前未曾与第三方签署过任何包含“竞业限制”条款的协议； 或者已与曾经签署“竞业限制”条款的第三方以适当方式解除了该等“竞业限制”义务。</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前款所谓“竞业限制”条款，是指任何第三方限定乙方不得从事甲方现有工作的条款。</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如因乙方违反上述声明导致甲方被第三方指控连带侵权，乙方应承担与此有关的全部法律责任和经济赔偿责任。</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在受聘甲方期间，乙方不得参与与甲方有竞争性的本职工作以外的活动(事先得到甲方许可的除外)，竞争性活动指从事与甲方现从事的业务相同/类似业务活动，或在与甲方从事相同/类似业务的任何单位任职，包括但不限于以兼职、顾问、股东、董事、监事、合伙人、投资人、提供劳务/咨询/服务等任何形式。</w:t>
      </w:r>
    </w:p>
    <w:p>
      <w:pPr>
        <w:pStyle w:val="3"/>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rPr>
      </w:pPr>
      <w:r>
        <w:rPr>
          <w:rFonts w:hint="eastAsia" w:ascii="微软雅黑" w:hAnsi="微软雅黑" w:eastAsia="微软雅黑" w:cs="微软雅黑"/>
        </w:rPr>
        <w:t>第三部分 其他</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rPr>
        <w:t>违约责任</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乙方违反本协议约定的保密及知识产权相关义务时，甲方有权同时要求乙方承担如下责任：</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乙方在职期间有任何违反本协议的行为时，均被视为严重违反劳动纪律与甲方规章制度，甲方可解除劳动关系并不支付经济补偿金。</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乙方违反保密及知识产权义务如有任何收益，应归甲方所有。</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乙方应向甲方支付违约金</w:t>
      </w:r>
      <w:r>
        <w:rPr>
          <w:rFonts w:hint="eastAsia" w:ascii="微软雅黑" w:hAnsi="微软雅黑" w:eastAsia="微软雅黑" w:cs="微软雅黑"/>
          <w:color w:val="000000"/>
          <w:u w:val="single"/>
        </w:rPr>
        <w:t>人民币（大写）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元（￥   </w:t>
      </w:r>
      <w:r>
        <w:rPr>
          <w:rFonts w:hint="eastAsia" w:ascii="微软雅黑" w:hAnsi="微软雅黑" w:eastAsia="微软雅黑" w:cs="微软雅黑"/>
          <w:color w:val="000000"/>
          <w:u w:val="single"/>
          <w:lang w:val="en-US" w:eastAsia="zh-CN"/>
        </w:rPr>
        <w:t xml:space="preserve">                  </w:t>
      </w:r>
      <w:r>
        <w:rPr>
          <w:rFonts w:hint="eastAsia" w:ascii="微软雅黑" w:hAnsi="微软雅黑" w:eastAsia="微软雅黑" w:cs="微软雅黑"/>
          <w:color w:val="000000"/>
          <w:u w:val="single"/>
        </w:rPr>
        <w:t> 元）</w:t>
      </w:r>
      <w:r>
        <w:rPr>
          <w:rFonts w:hint="eastAsia" w:ascii="微软雅黑" w:hAnsi="微软雅黑" w:eastAsia="微软雅黑" w:cs="微软雅黑"/>
          <w:color w:val="000000"/>
        </w:rPr>
        <w:t>。</w:t>
      </w:r>
    </w:p>
    <w:p>
      <w:pPr>
        <w:pStyle w:val="5"/>
        <w:keepNext w:val="0"/>
        <w:pageBreakBefore w:val="0"/>
        <w:widowControl/>
        <w:numPr>
          <w:ilvl w:val="2"/>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乙方还应赔偿由此给甲方、甲方客户及甲方关联客户造成的一切损失，损失范围包括但不限于甲方的名誉损失、直接损失和可得利益的损失，以及调查费用、公证费用、诉讼费用、律师费用、向第三方支付的赔偿、为应对第三方的指控而支付的一切费用等。</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上述赔偿可以从乙方的服务报酬或劳动报酬中扣除。</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如果乙方侵犯甲方客户及甲方关联客户相关的保密信息或知识产权，甲方有权代表甲方客户及甲方关联客户追究乙方的法律责任。</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特别说明</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甲乙双方建立的关系性质（劳动关系、劳务关系、劳务派遣关系、聘用关系等）以双方签署的其他协议为准，但无论何种关系性质，本协议一经签署，即发生法律效力。</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协议可由甲方转让给甲方的子公司、分支机构或办事机构，当乙方在上述机构之间被调任时，本协议自动被转让至新的聘用单位而无需由乙方另行签署。如新的聘用单位提出要求，乙方亦同意直接与其签署新的协议。</w:t>
      </w:r>
    </w:p>
    <w:p>
      <w:pPr>
        <w:pStyle w:val="4"/>
        <w:keepNext w:val="0"/>
        <w:pageBreakBefore w:val="0"/>
        <w:widowControl/>
        <w:numPr>
          <w:ilvl w:val="0"/>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rPr>
        <w:t>附则</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本协议一式二份，甲乙双方各执一份，具有同等法律效力。</w:t>
      </w:r>
    </w:p>
    <w:p>
      <w:pPr>
        <w:pStyle w:val="5"/>
        <w:keepNext w:val="0"/>
        <w:pageBreakBefore w:val="0"/>
        <w:widowControl/>
        <w:numPr>
          <w:ilvl w:val="1"/>
          <w:numId w:val="1"/>
        </w:numPr>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本协议经双方签名或盖章后生效。</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（以下无协议正文）</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甲方（盖章）：</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法定代表人或授权代表：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7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color w:val="000000"/>
        </w:rPr>
        <w:t>签订时间：    年    月    日</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乙方确认：已经详细阅读了本协议内容，甲方已经就本协议全部内容向乙方进行详细解释说明，包括但不限于乙方保密义务、知识产权归属、乙方违约责任条款。乙方完全了解且同意履行本协议。</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r>
        <w:rPr>
          <w:rFonts w:hint="eastAsia" w:ascii="微软雅黑" w:hAnsi="微软雅黑" w:eastAsia="微软雅黑" w:cs="微软雅黑"/>
          <w:b/>
          <w:color w:val="000000"/>
        </w:rPr>
        <w:t>乙方（签名）：</w:t>
      </w:r>
    </w:p>
    <w:p>
      <w:pPr>
        <w:pStyle w:val="5"/>
        <w:spacing w:before="0" w:beforeAutospacing="0" w:after="0" w:afterAutospacing="0" w:line="360" w:lineRule="auto"/>
        <w:rPr>
          <w:rFonts w:hint="eastAsia" w:ascii="微软雅黑" w:hAnsi="微软雅黑" w:eastAsia="微软雅黑" w:cs="微软雅黑"/>
          <w:color w:val="000000"/>
        </w:rPr>
      </w:pPr>
    </w:p>
    <w:p>
      <w:pPr>
        <w:pStyle w:val="5"/>
        <w:spacing w:before="0" w:beforeAutospacing="0" w:after="0" w:afterAutospacing="0" w:line="360" w:lineRule="auto"/>
        <w:rPr>
          <w:rFonts w:hint="eastAsia" w:ascii="微软雅黑" w:hAnsi="微软雅黑" w:eastAsia="微软雅黑" w:cs="微软雅黑"/>
          <w:color w:val="000000"/>
        </w:rPr>
      </w:pPr>
      <w:bookmarkStart w:id="0" w:name="_GoBack"/>
      <w:bookmarkEnd w:id="0"/>
      <w:r>
        <w:rPr>
          <w:rFonts w:hint="eastAsia" w:ascii="微软雅黑" w:hAnsi="微软雅黑" w:eastAsia="微软雅黑" w:cs="微软雅黑"/>
          <w:color w:val="000000"/>
        </w:rPr>
        <w:t>签订时间：    年    月    日</w:t>
      </w:r>
    </w:p>
    <w:p>
      <w:pPr>
        <w:pStyle w:val="5"/>
        <w:keepNext w:val="0"/>
        <w:pageBreakBefore w:val="0"/>
        <w:widowControl/>
        <w:kinsoku/>
        <w:wordWrap/>
        <w:overflowPunct/>
        <w:topLinePunct w:val="0"/>
        <w:autoSpaceDE/>
        <w:autoSpaceDN/>
        <w:bidi w:val="0"/>
        <w:adjustRightInd/>
        <w:snapToGrid/>
        <w:spacing w:before="0" w:beforeAutospacing="0" w:after="0" w:afterAutospacing="0" w:line="500" w:lineRule="exact"/>
        <w:textAlignment w:val="auto"/>
        <w:rPr>
          <w:rFonts w:hint="eastAsia" w:ascii="微软雅黑" w:hAnsi="微软雅黑" w:eastAsia="微软雅黑" w:cs="微软雅黑"/>
          <w:color w:val="000000"/>
        </w:rPr>
      </w:pPr>
    </w:p>
    <w:sectPr>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imfang">
    <w:altName w:val="Segoe Print"/>
    <w:panose1 w:val="00000000000000000000"/>
    <w:charset w:val="00"/>
    <w:family w:val="auto"/>
    <w:pitch w:val="default"/>
    <w:sig w:usb0="00000000" w:usb1="00000000" w:usb2="00000000" w:usb3="00000000" w:csb0="00000000" w:csb1="00000000"/>
  </w:font>
  <w:font w:name="Msy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183CF9"/>
    <w:multiLevelType w:val="multilevel"/>
    <w:tmpl w:val="72183CF9"/>
    <w:lvl w:ilvl="0" w:tentative="0">
      <w:start w:val="1"/>
      <w:numFmt w:val="decimalHalfWidth"/>
      <w:lvlText w:val="%1."/>
      <w:lvlJc w:val="left"/>
      <w:pPr>
        <w:ind w:left="0"/>
      </w:pPr>
    </w:lvl>
    <w:lvl w:ilvl="1" w:tentative="0">
      <w:start w:val="1"/>
      <w:numFmt w:val="decimalHalfWidth"/>
      <w:lvlText w:val="%1.%2."/>
      <w:lvlJc w:val="left"/>
      <w:pPr>
        <w:ind w:left="0"/>
      </w:pPr>
    </w:lvl>
    <w:lvl w:ilvl="2" w:tentative="0">
      <w:start w:val="1"/>
      <w:numFmt w:val="decimalHalfWidth"/>
      <w:lvlText w:val="%1.%2.%3."/>
      <w:lvlJc w:val="left"/>
      <w:pPr>
        <w:ind w:left="0"/>
      </w:pPr>
    </w:lvl>
    <w:lvl w:ilvl="3" w:tentative="0">
      <w:start w:val="1"/>
      <w:numFmt w:val="decimalHalfWidth"/>
      <w:lvlText w:val="%1.%2.%3.%4."/>
      <w:lvlJc w:val="left"/>
      <w:pPr>
        <w:ind w:left="0"/>
      </w:pPr>
    </w:lvl>
    <w:lvl w:ilvl="4" w:tentative="0">
      <w:start w:val="1"/>
      <w:numFmt w:val="decimalHalfWidth"/>
      <w:lvlText w:val="%1.%2.%3.%4.%5."/>
      <w:lvlJc w:val="left"/>
      <w:pPr>
        <w:ind w:left="0"/>
      </w:pPr>
    </w:lvl>
    <w:lvl w:ilvl="5" w:tentative="0">
      <w:start w:val="1"/>
      <w:numFmt w:val="decimalHalfWidth"/>
      <w:lvlText w:val="%1.%2.%3.%4.%5.%6."/>
      <w:lvlJc w:val="left"/>
      <w:pPr>
        <w:ind w:left="0"/>
      </w:pPr>
    </w:lvl>
    <w:lvl w:ilvl="6" w:tentative="0">
      <w:start w:val="1"/>
      <w:numFmt w:val="decimalHalfWidth"/>
      <w:lvlText w:val="%1.%2.%3.%4.%5.%6.%7."/>
      <w:lvlJc w:val="left"/>
      <w:pPr>
        <w:ind w:left="0"/>
      </w:pPr>
    </w:lvl>
    <w:lvl w:ilvl="7" w:tentative="0">
      <w:start w:val="1"/>
      <w:numFmt w:val="decimalHalfWidth"/>
      <w:lvlText w:val="%1.%2.%3.%4.%5.%6.%7.%8."/>
      <w:lvlJc w:val="left"/>
      <w:pPr>
        <w:ind w:left="0"/>
      </w:pPr>
    </w:lvl>
    <w:lvl w:ilvl="8" w:tentative="0">
      <w:start w:val="1"/>
      <w:numFmt w:val="decimalHalfWidth"/>
      <w:lvlText w:val="%1.%2.%3.%4.%5.%6.%7.%8.%9."/>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0"/>
  <w:compat>
    <w:useFELayout/>
    <w:compatSetting w:name="compatibilityMode" w:uri="http://schemas.microsoft.com/office/word" w:val="15"/>
  </w:compat>
  <w:docVars>
    <w:docVar w:name="commondata" w:val="eyJoZGlkIjoiZTE4ODFhZDBmODQzOTQxZjQ2ZDVhMTIzMmZmNjgxNWUifQ=="/>
  </w:docVars>
  <w:rsids>
    <w:rsidRoot w:val="00000000"/>
    <w:rsid w:val="3CA523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sz w:val="24"/>
    </w:rPr>
  </w:style>
  <w:style w:type="paragraph" w:styleId="2">
    <w:name w:val="heading 1"/>
    <w:basedOn w:val="1"/>
    <w:next w:val="1"/>
    <w:autoRedefine/>
    <w:qFormat/>
    <w:uiPriority w:val="9"/>
    <w:pPr>
      <w:keepLines/>
      <w:spacing w:before="280" w:beforeAutospacing="0" w:after="280" w:afterAutospacing="0"/>
      <w:jc w:val="center"/>
      <w:outlineLvl w:val="9"/>
    </w:pPr>
    <w:rPr>
      <w:b/>
      <w:color w:val="000000"/>
      <w:sz w:val="36"/>
    </w:rPr>
  </w:style>
  <w:style w:type="paragraph" w:styleId="3">
    <w:name w:val="heading 2"/>
    <w:basedOn w:val="1"/>
    <w:next w:val="1"/>
    <w:qFormat/>
    <w:uiPriority w:val="9"/>
    <w:pPr>
      <w:keepLines/>
      <w:spacing w:before="280" w:beforeAutospacing="0" w:after="280" w:afterAutospacing="0"/>
      <w:jc w:val="center"/>
      <w:outlineLvl w:val="0"/>
    </w:pPr>
    <w:rPr>
      <w:b/>
      <w:color w:val="000000"/>
      <w:sz w:val="32"/>
    </w:rPr>
  </w:style>
  <w:style w:type="paragraph" w:styleId="4">
    <w:name w:val="heading 3"/>
    <w:basedOn w:val="1"/>
    <w:next w:val="1"/>
    <w:autoRedefine/>
    <w:qFormat/>
    <w:uiPriority w:val="9"/>
    <w:pPr>
      <w:keepLines/>
      <w:spacing w:before="280" w:beforeAutospacing="0" w:after="280" w:afterAutospacing="0"/>
      <w:outlineLvl w:val="1"/>
    </w:pPr>
    <w:rPr>
      <w:b/>
      <w:color w:val="000000"/>
      <w:sz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autoRedefine/>
    <w:qFormat/>
    <w:uiPriority w:val="99"/>
    <w:pPr>
      <w:spacing w:before="100" w:beforeAutospacing="1" w:after="100" w:afterAutospacing="1"/>
    </w:pPr>
    <w:rPr>
      <w:sz w:val="24"/>
    </w:rPr>
  </w:style>
  <w:style w:type="table" w:customStyle="1" w:styleId="8">
    <w:name w:val="Table Normal"/>
    <w:uiPriority w:val="59"/>
    <w:tblPr>
      <w:tblCellMar>
        <w:top w:w="0" w:type="dxa"/>
        <w:left w:w="108" w:type="dxa"/>
        <w:bottom w:w="0" w:type="dxa"/>
        <w:right w:w="108" w:type="dxa"/>
      </w:tblCellMar>
    </w:tblPr>
  </w:style>
  <w:style w:type="paragraph" w:customStyle="1" w:styleId="9">
    <w:name w:val="font-fangsong *"/>
    <w:basedOn w:val="1"/>
    <w:autoRedefine/>
    <w:uiPriority w:val="0"/>
    <w:pPr>
      <w:spacing w:before="100" w:beforeAutospacing="1" w:after="100" w:afterAutospacing="1"/>
    </w:pPr>
    <w:rPr>
      <w:rFonts w:ascii="Simfang" w:hAnsi="Simfang" w:cs="Simfang"/>
      <w:sz w:val="24"/>
    </w:rPr>
  </w:style>
  <w:style w:type="paragraph" w:customStyle="1" w:styleId="10">
    <w:name w:val="font-song *"/>
    <w:basedOn w:val="1"/>
    <w:autoRedefine/>
    <w:qFormat/>
    <w:uiPriority w:val="0"/>
    <w:pPr>
      <w:spacing w:before="100" w:beforeAutospacing="1" w:after="100" w:afterAutospacing="1"/>
    </w:pPr>
    <w:rPr>
      <w:rFonts w:ascii="宋体" w:hAnsi="宋体" w:cs="宋体"/>
      <w:sz w:val="24"/>
    </w:rPr>
  </w:style>
  <w:style w:type="paragraph" w:customStyle="1" w:styleId="11">
    <w:name w:val="font-yahei *"/>
    <w:basedOn w:val="1"/>
    <w:uiPriority w:val="0"/>
    <w:pPr>
      <w:spacing w:before="100" w:beforeAutospacing="1" w:after="100" w:afterAutospacing="1"/>
    </w:pPr>
    <w:rPr>
      <w:rFonts w:ascii="Msyh" w:hAnsi="Msyh" w:cs="Msyh"/>
      <w:sz w:val="24"/>
    </w:rPr>
  </w:style>
  <w:style w:type="paragraph" w:customStyle="1" w:styleId="12">
    <w:name w:val="on"/>
    <w:basedOn w:val="1"/>
    <w:autoRedefine/>
    <w:qFormat/>
    <w:uiPriority w:val="0"/>
    <w:pPr>
      <w:spacing w:before="100" w:beforeAutospacing="1" w:after="100" w:afterAutospacing="1"/>
    </w:pPr>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in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ne">
      <a:majorFont>
        <a:latin typeface="宋体"/>
        <a:ea typeface="宋体"/>
        <a:cs typeface="宋体"/>
      </a:majorFont>
      <a:minorFont>
        <a:latin typeface="宋体"/>
        <a:ea typeface="宋体"/>
        <a:cs typeface="宋体"/>
      </a:minorFont>
    </a:fontScheme>
    <a:fmtScheme name="Min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Office_12.1.0.16364_F1E327BC-269C-435d-A152-05C5408002CA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2024-04-24T08:03:29Z</dcterms:created>
  <dc:creator>法天使</dc:creator>
  <cp:lastModifiedBy>WPS_1200962782</cp:lastModifiedBy>
  <dcterms:modified xsi:type="dcterms:W3CDTF">2024-04-24T08:06:24Z</dcterms:modified>
  <dc:title>保密与知识产权协议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387E05E2C83249109559C00F378F3FDB_12</vt:lpwstr>
  </property>
</Properties>
</file>